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2400"/>
        <w:jc w:val="center"/>
      </w:pPr>
      <w:r>
        <w:rPr>
          <w:b/>
          <w:color w:val="1F4E79"/>
          <w:sz w:val="56"/>
        </w:rPr>
        <w:t>Automate de veille scientifique</w:t>
        <w:br/>
        <w:t>Diabète de Type 1</w:t>
      </w:r>
    </w:p>
    <w:p>
      <w:pPr>
        <w:jc w:val="center"/>
      </w:pPr>
      <w:r>
        <w:rPr>
          <w:color w:val="595959"/>
          <w:sz w:val="28"/>
        </w:rPr>
        <w:t>Documentation technique — Mise en place, utilisation, débogage</w:t>
      </w:r>
    </w:p>
    <w:p>
      <w:pPr>
        <w:spacing w:before="600"/>
        <w:jc w:val="center"/>
      </w:pPr>
      <w:r>
        <w:rPr>
          <w:i/>
          <w:color w:val="595959"/>
          <w:sz w:val="22"/>
        </w:rPr>
        <w:t>Version du 18 septembre 2026</w:t>
      </w:r>
    </w:p>
    <w:p>
      <w:r>
        <w:br w:type="page"/>
      </w:r>
    </w:p>
    <w:p>
      <w:pPr>
        <w:pStyle w:val="Heading1"/>
      </w:pPr>
      <w:r>
        <w:t>Sommaire</w:t>
      </w:r>
    </w:p>
    <w:p>
      <w:pPr>
        <w:ind w:left="227"/>
        <w:shd w:fill="EAF1F8"/>
      </w:pPr>
      <w:r>
        <w:rPr>
          <w:b/>
          <w:color w:val="1F4E79"/>
        </w:rPr>
        <w:t xml:space="preserve">Astuce : </w:t>
      </w:r>
      <w:r>
        <w:t>Ce sommaire est un champ Word. Faites un clic droit dessus puis « Mettre à jour les champs » (ou sélectionnez-le et appuyez sur F9) pour qu'il se remplisse automatiquement avec les numéros de page.</w:t>
      </w:r>
    </w:p>
    <w:p>
      <w:r>
        <w:fldChar w:fldCharType="begin"/>
        <w:instrText xml:space="preserve">TOC \o "1-3" \h \z \u</w:instrText>
        <w:fldChar w:fldCharType="separate"/>
        <w:t>Ouvrez ce document dans Word et mettez à jour les champs pour afficher le sommaire.</w:t>
        <w:fldChar w:fldCharType="end"/>
      </w:r>
    </w:p>
    <w:p>
      <w:r>
        <w:br w:type="page"/>
      </w:r>
    </w:p>
    <w:p>
      <w:pPr>
        <w:pStyle w:val="Heading1"/>
      </w:pPr>
      <w:r>
        <w:t>1. Vue d'ensemble</w:t>
      </w:r>
    </w:p>
    <w:p>
      <w:pPr>
        <w:pStyle w:val="Heading2"/>
      </w:pPr>
      <w:r>
        <w:t>1.1 Objectif du système</w:t>
      </w:r>
    </w:p>
    <w:p>
      <w:r>
        <w:t>Ce système est un automate qui surveille chaque semaine l'actualité scientifique internationale sur le diabète de type 1 (DT1), la traduit en français, et met à jour un document de référence (diabete-type1-veille.md) sans jamais le réécrire entièrement ni inventer d'information absente des sources.</w:t>
      </w:r>
    </w:p>
    <w:p>
      <w:r>
        <w:t>Il répond à trois exigences fixées au départ :</w:t>
      </w:r>
    </w:p>
    <w:p>
      <w:pPr>
        <w:pStyle w:val="ListBullet"/>
      </w:pPr>
      <w:r>
        <w:t>Ne jamais fabriquer un fait qui n'est pas explicitement dans la source (article, essai clinique ou communiqué).</w:t>
      </w:r>
    </w:p>
    <w:p>
      <w:pPr>
        <w:pStyle w:val="ListBullet"/>
      </w:pPr>
      <w:r>
        <w:t>Ne jamais republier deux fois la même information (déduplication).</w:t>
      </w:r>
    </w:p>
    <w:p>
      <w:pPr>
        <w:pStyle w:val="ListBullet"/>
      </w:pPr>
      <w:r>
        <w:t>Distinguer deux façons de faire vivre le document : mettre à jour une fiche technologie déjà suivie, ou ajouter une nouvelle entrée d'actualité.</w:t>
      </w:r>
    </w:p>
    <w:p>
      <w:pPr>
        <w:pStyle w:val="Heading2"/>
      </w:pPr>
      <w:r>
        <w:t>1.2 Vue d'ensemble du document surveillé</w:t>
      </w:r>
    </w:p>
    <w:p>
      <w:r>
        <w:t>diabete-type1-veille.md est structuré en 7 sections fixes. L'automate n'a le droit de toucher qu'aux sections 2 à 5 ; les sections 1, 6 et 7 ne sont jamais modifiées.</w:t>
      </w:r>
    </w:p>
    <w:tbl>
      <w:tblPr>
        <w:tblStyle w:val="LightGrid-Accent1"/>
        <w:tblW w:type="auto" w:w="0"/>
        <w:jc w:val="center"/>
        <w:tblLook w:firstColumn="1" w:firstRow="1" w:lastColumn="0" w:lastRow="0" w:noHBand="0" w:noVBand="1" w:val="04A0"/>
      </w:tblPr>
      <w:tblGrid>
        <w:gridCol w:w="2880"/>
        <w:gridCol w:w="2880"/>
        <w:gridCol w:w="2880"/>
      </w:tblGrid>
      <w:tr>
        <w:tc>
          <w:tcPr>
            <w:tcW w:type="dxa" w:w="2880"/>
          </w:tcPr>
          <w:p>
            <w:r/>
            <w:r>
              <w:rPr>
                <w:b/>
                <w:sz w:val="21"/>
              </w:rPr>
              <w:t>Section</w:t>
            </w:r>
          </w:p>
        </w:tc>
        <w:tc>
          <w:tcPr>
            <w:tcW w:type="dxa" w:w="2880"/>
          </w:tcPr>
          <w:p>
            <w:r/>
            <w:r>
              <w:rPr>
                <w:b/>
                <w:sz w:val="21"/>
              </w:rPr>
              <w:t>Contenu</w:t>
            </w:r>
          </w:p>
        </w:tc>
        <w:tc>
          <w:tcPr>
            <w:tcW w:type="dxa" w:w="2880"/>
          </w:tcPr>
          <w:p>
            <w:r/>
            <w:r>
              <w:rPr>
                <w:b/>
                <w:sz w:val="21"/>
              </w:rPr>
              <w:t>Modifiable par l'automate ?</w:t>
            </w:r>
          </w:p>
        </w:tc>
      </w:tr>
      <w:tr>
        <w:tc>
          <w:tcPr>
            <w:tcW w:type="dxa" w:w="2880"/>
          </w:tcPr>
          <w:p>
            <w:r/>
            <w:r>
              <w:rPr>
                <w:sz w:val="20"/>
              </w:rPr>
              <w:t>1</w:t>
            </w:r>
          </w:p>
        </w:tc>
        <w:tc>
          <w:tcPr>
            <w:tcW w:type="dxa" w:w="2880"/>
          </w:tcPr>
          <w:p>
            <w:r/>
            <w:r>
              <w:rPr>
                <w:sz w:val="20"/>
              </w:rPr>
              <w:t>Synthèse de l'état de l'art</w:t>
            </w:r>
          </w:p>
        </w:tc>
        <w:tc>
          <w:tcPr>
            <w:tcW w:type="dxa" w:w="2880"/>
          </w:tcPr>
          <w:p>
            <w:r/>
            <w:r>
              <w:rPr>
                <w:sz w:val="20"/>
              </w:rPr>
              <w:t>Non</w:t>
            </w:r>
          </w:p>
        </w:tc>
      </w:tr>
      <w:tr>
        <w:tc>
          <w:tcPr>
            <w:tcW w:type="dxa" w:w="2880"/>
          </w:tcPr>
          <w:p>
            <w:r/>
            <w:r>
              <w:rPr>
                <w:sz w:val="20"/>
              </w:rPr>
              <w:t>2</w:t>
            </w:r>
          </w:p>
        </w:tc>
        <w:tc>
          <w:tcPr>
            <w:tcW w:type="dxa" w:w="2880"/>
          </w:tcPr>
          <w:p>
            <w:r/>
            <w:r>
              <w:rPr>
                <w:sz w:val="20"/>
              </w:rPr>
              <w:t>Axe Biologique et Cellulaire (fiches technologie)</w:t>
            </w:r>
          </w:p>
        </w:tc>
        <w:tc>
          <w:tcPr>
            <w:tcW w:type="dxa" w:w="2880"/>
          </w:tcPr>
          <w:p>
            <w:r/>
            <w:r>
              <w:rPr>
                <w:sz w:val="20"/>
              </w:rPr>
              <w:t>Oui — mise à jour de champs</w:t>
            </w:r>
          </w:p>
        </w:tc>
      </w:tr>
      <w:tr>
        <w:tc>
          <w:tcPr>
            <w:tcW w:type="dxa" w:w="2880"/>
          </w:tcPr>
          <w:p>
            <w:r/>
            <w:r>
              <w:rPr>
                <w:sz w:val="20"/>
              </w:rPr>
              <w:t>3</w:t>
            </w:r>
          </w:p>
        </w:tc>
        <w:tc>
          <w:tcPr>
            <w:tcW w:type="dxa" w:w="2880"/>
          </w:tcPr>
          <w:p>
            <w:r/>
            <w:r>
              <w:rPr>
                <w:sz w:val="20"/>
              </w:rPr>
              <w:t>Axe Mécanique et Technologique (fiches technologie)</w:t>
            </w:r>
          </w:p>
        </w:tc>
        <w:tc>
          <w:tcPr>
            <w:tcW w:type="dxa" w:w="2880"/>
          </w:tcPr>
          <w:p>
            <w:r/>
            <w:r>
              <w:rPr>
                <w:sz w:val="20"/>
              </w:rPr>
              <w:t>Oui — mise à jour de champs</w:t>
            </w:r>
          </w:p>
        </w:tc>
      </w:tr>
      <w:tr>
        <w:tc>
          <w:tcPr>
            <w:tcW w:type="dxa" w:w="2880"/>
          </w:tcPr>
          <w:p>
            <w:r/>
            <w:r>
              <w:rPr>
                <w:sz w:val="20"/>
              </w:rPr>
              <w:t>4</w:t>
            </w:r>
          </w:p>
        </w:tc>
        <w:tc>
          <w:tcPr>
            <w:tcW w:type="dxa" w:w="2880"/>
          </w:tcPr>
          <w:p>
            <w:r/>
            <w:r>
              <w:rPr>
                <w:sz w:val="20"/>
              </w:rPr>
              <w:t>Axe Immunothérapie (fiches technologie)</w:t>
            </w:r>
          </w:p>
        </w:tc>
        <w:tc>
          <w:tcPr>
            <w:tcW w:type="dxa" w:w="2880"/>
          </w:tcPr>
          <w:p>
            <w:r/>
            <w:r>
              <w:rPr>
                <w:sz w:val="20"/>
              </w:rPr>
              <w:t>Oui — mise à jour de champs</w:t>
            </w:r>
          </w:p>
        </w:tc>
      </w:tr>
      <w:tr>
        <w:tc>
          <w:tcPr>
            <w:tcW w:type="dxa" w:w="2880"/>
          </w:tcPr>
          <w:p>
            <w:r/>
            <w:r>
              <w:rPr>
                <w:sz w:val="20"/>
              </w:rPr>
              <w:t>5</w:t>
            </w:r>
          </w:p>
        </w:tc>
        <w:tc>
          <w:tcPr>
            <w:tcW w:type="dxa" w:w="2880"/>
          </w:tcPr>
          <w:p>
            <w:r/>
            <w:r>
              <w:rPr>
                <w:sz w:val="20"/>
              </w:rPr>
              <w:t>Nouveautés et fil d'actualité</w:t>
            </w:r>
          </w:p>
        </w:tc>
        <w:tc>
          <w:tcPr>
            <w:tcW w:type="dxa" w:w="2880"/>
          </w:tcPr>
          <w:p>
            <w:r/>
            <w:r>
              <w:rPr>
                <w:sz w:val="20"/>
              </w:rPr>
              <w:t>Oui — ajout d'entrées en tête</w:t>
            </w:r>
          </w:p>
        </w:tc>
      </w:tr>
      <w:tr>
        <w:tc>
          <w:tcPr>
            <w:tcW w:type="dxa" w:w="2880"/>
          </w:tcPr>
          <w:p>
            <w:r/>
            <w:r>
              <w:rPr>
                <w:sz w:val="20"/>
              </w:rPr>
              <w:t>6</w:t>
            </w:r>
          </w:p>
        </w:tc>
        <w:tc>
          <w:tcPr>
            <w:tcW w:type="dxa" w:w="2880"/>
          </w:tcPr>
          <w:p>
            <w:r/>
            <w:r>
              <w:rPr>
                <w:sz w:val="20"/>
              </w:rPr>
              <w:t>Sources et références</w:t>
            </w:r>
          </w:p>
        </w:tc>
        <w:tc>
          <w:tcPr>
            <w:tcW w:type="dxa" w:w="2880"/>
          </w:tcPr>
          <w:p>
            <w:r/>
            <w:r>
              <w:rPr>
                <w:sz w:val="20"/>
              </w:rPr>
              <w:t>Non</w:t>
            </w:r>
          </w:p>
        </w:tc>
      </w:tr>
      <w:tr>
        <w:tc>
          <w:tcPr>
            <w:tcW w:type="dxa" w:w="2880"/>
          </w:tcPr>
          <w:p>
            <w:r/>
            <w:r>
              <w:rPr>
                <w:sz w:val="20"/>
              </w:rPr>
              <w:t>7</w:t>
            </w:r>
          </w:p>
        </w:tc>
        <w:tc>
          <w:tcPr>
            <w:tcW w:type="dxa" w:w="2880"/>
          </w:tcPr>
          <w:p>
            <w:r/>
            <w:r>
              <w:rPr>
                <w:sz w:val="20"/>
              </w:rPr>
              <w:t>Règles de mise à jour hebdomadaire</w:t>
            </w:r>
          </w:p>
        </w:tc>
        <w:tc>
          <w:tcPr>
            <w:tcW w:type="dxa" w:w="2880"/>
          </w:tcPr>
          <w:p>
            <w:r/>
            <w:r>
              <w:rPr>
                <w:sz w:val="20"/>
              </w:rPr>
              <w:t>Non</w:t>
            </w:r>
          </w:p>
        </w:tc>
      </w:tr>
    </w:tbl>
    <w:p/>
    <w:p>
      <w:pPr>
        <w:pStyle w:val="Heading2"/>
      </w:pPr>
      <w:r>
        <w:t>1.3 Schéma du fonctionnement</w:t>
      </w:r>
    </w:p>
    <w:p>
      <w:pPr>
        <w:spacing w:before="40" w:after="200"/>
        <w:ind w:left="283"/>
        <w:shd w:fill="F2F2F2"/>
      </w:pPr>
      <w:r>
        <w:rPr>
          <w:rFonts w:ascii="Consolas" w:hAnsi="Consolas"/>
          <w:color w:val="1A1A1A"/>
          <w:sz w:val="19"/>
        </w:rPr>
        <w:t>1. Collecte  -&gt;  PubMed + ClinicalTrials.gov + flux RSS (fenêtre de 15 jours)</w:t>
      </w:r>
      <w:r>
        <w:br/>
      </w:r>
      <w:r>
        <w:rPr>
          <w:rFonts w:ascii="Consolas" w:hAnsi="Consolas"/>
          <w:color w:val="1A1A1A"/>
          <w:sz w:val="19"/>
        </w:rPr>
        <w:t>2. Filtrage  -&gt;  hors-sujet DT1 écarté, doublons déjà traités écartés</w:t>
      </w:r>
      <w:r>
        <w:br/>
      </w:r>
      <w:r>
        <w:rPr>
          <w:rFonts w:ascii="Consolas" w:hAnsi="Consolas"/>
          <w:color w:val="1A1A1A"/>
          <w:sz w:val="19"/>
        </w:rPr>
        <w:t>3. Classement -&gt; axe / maturité / niveau de confiance</w:t>
      </w:r>
      <w:r>
        <w:br/>
      </w:r>
      <w:r>
        <w:rPr>
          <w:rFonts w:ascii="Consolas" w:hAnsi="Consolas"/>
          <w:color w:val="1A1A1A"/>
          <w:sz w:val="19"/>
        </w:rPr>
        <w:t>4. Résumé    -&gt;  extraction des 1ères phrases + traduction en français</w:t>
      </w:r>
      <w:r>
        <w:br/>
      </w:r>
      <w:r>
        <w:rPr>
          <w:rFonts w:ascii="Consolas" w:hAnsi="Consolas"/>
          <w:color w:val="1A1A1A"/>
          <w:sz w:val="19"/>
        </w:rPr>
        <w:t>5. Décision  -&gt;  correspond à une fiche existante ?</w:t>
      </w:r>
      <w:r>
        <w:br/>
      </w:r>
      <w:r>
        <w:rPr>
          <w:rFonts w:ascii="Consolas" w:hAnsi="Consolas"/>
          <w:color w:val="1A1A1A"/>
          <w:sz w:val="19"/>
        </w:rPr>
        <w:t xml:space="preserve">                  OUI -&gt; mise à jour des champs de la fiche (section 2-4)</w:t>
      </w:r>
      <w:r>
        <w:br/>
      </w:r>
      <w:r>
        <w:rPr>
          <w:rFonts w:ascii="Consolas" w:hAnsi="Consolas"/>
          <w:color w:val="1A1A1A"/>
          <w:sz w:val="19"/>
        </w:rPr>
        <w:t xml:space="preserve">                  NON -&gt; nouvelle entrée en tête de la section 5</w:t>
      </w:r>
      <w:r>
        <w:br/>
      </w:r>
      <w:r>
        <w:rPr>
          <w:rFonts w:ascii="Consolas" w:hAnsi="Consolas"/>
          <w:color w:val="1A1A1A"/>
          <w:sz w:val="19"/>
        </w:rPr>
        <w:t>6. Écriture  -&gt;  fichier .md modifié + mémoire de déduplication mise à jour</w:t>
      </w:r>
    </w:p>
    <w:p>
      <w:r>
        <w:br w:type="page"/>
      </w:r>
    </w:p>
    <w:p>
      <w:pPr>
        <w:pStyle w:val="Heading1"/>
      </w:pPr>
      <w:r>
        <w:t>2. Mise en place (ce qui a été installé)</w:t>
      </w:r>
    </w:p>
    <w:p>
      <w:pPr>
        <w:pStyle w:val="Heading2"/>
      </w:pPr>
      <w:r>
        <w:t>2.1 Emplacement et arborescence</w:t>
      </w:r>
    </w:p>
    <w:p>
      <w:r>
        <w:t>Tout le système vit dans un dossier autonome, dédié, séparé de tout autre projet :</w:t>
      </w:r>
    </w:p>
    <w:p>
      <w:pPr>
        <w:spacing w:before="40" w:after="200"/>
        <w:ind w:left="283"/>
        <w:shd w:fill="F2F2F2"/>
      </w:pPr>
      <w:r>
        <w:rPr>
          <w:rFonts w:ascii="Consolas" w:hAnsi="Consolas"/>
          <w:color w:val="1A1A1A"/>
          <w:sz w:val="19"/>
        </w:rPr>
        <w:t>D:\Prog_Python\Veille_Diabete_Type_1\</w:t>
      </w:r>
    </w:p>
    <w:tbl>
      <w:tblPr>
        <w:tblStyle w:val="LightGrid-Accent1"/>
        <w:tblW w:type="auto" w:w="0"/>
        <w:jc w:val="center"/>
        <w:tblLook w:firstColumn="1" w:firstRow="1" w:lastColumn="0" w:lastRow="0" w:noHBand="0" w:noVBand="1" w:val="04A0"/>
      </w:tblPr>
      <w:tblGrid>
        <w:gridCol w:w="4320"/>
        <w:gridCol w:w="4320"/>
      </w:tblGrid>
      <w:tr>
        <w:tc>
          <w:tcPr>
            <w:tcW w:type="dxa" w:w="4320"/>
          </w:tcPr>
          <w:p>
            <w:r/>
            <w:r>
              <w:rPr>
                <w:b/>
                <w:sz w:val="21"/>
              </w:rPr>
              <w:t>Fichier / dossier</w:t>
            </w:r>
          </w:p>
        </w:tc>
        <w:tc>
          <w:tcPr>
            <w:tcW w:type="dxa" w:w="4320"/>
          </w:tcPr>
          <w:p>
            <w:r/>
            <w:r>
              <w:rPr>
                <w:b/>
                <w:sz w:val="21"/>
              </w:rPr>
              <w:t>Rôle</w:t>
            </w:r>
          </w:p>
        </w:tc>
      </w:tr>
      <w:tr>
        <w:tc>
          <w:tcPr>
            <w:tcW w:type="dxa" w:w="4320"/>
          </w:tcPr>
          <w:p>
            <w:r/>
            <w:r>
              <w:rPr>
                <w:sz w:val="20"/>
              </w:rPr>
              <w:t>main.py</w:t>
            </w:r>
          </w:p>
        </w:tc>
        <w:tc>
          <w:tcPr>
            <w:tcW w:type="dxa" w:w="4320"/>
          </w:tcPr>
          <w:p>
            <w:r/>
            <w:r>
              <w:rPr>
                <w:sz w:val="20"/>
              </w:rPr>
              <w:t>Le script principal : toute la logique (collecte, traduction, mise à jour).</w:t>
            </w:r>
          </w:p>
        </w:tc>
      </w:tr>
      <w:tr>
        <w:tc>
          <w:tcPr>
            <w:tcW w:type="dxa" w:w="4320"/>
          </w:tcPr>
          <w:p>
            <w:r/>
            <w:r>
              <w:rPr>
                <w:sz w:val="20"/>
              </w:rPr>
              <w:t>config.yaml</w:t>
            </w:r>
          </w:p>
        </w:tc>
        <w:tc>
          <w:tcPr>
            <w:tcW w:type="dxa" w:w="4320"/>
          </w:tcPr>
          <w:p>
            <w:r/>
            <w:r>
              <w:rPr>
                <w:sz w:val="20"/>
              </w:rPr>
              <w:t>Toute la configuration modifiable sans toucher au code.</w:t>
            </w:r>
          </w:p>
        </w:tc>
      </w:tr>
      <w:tr>
        <w:tc>
          <w:tcPr>
            <w:tcW w:type="dxa" w:w="4320"/>
          </w:tcPr>
          <w:p>
            <w:r/>
            <w:r>
              <w:rPr>
                <w:sz w:val="20"/>
              </w:rPr>
              <w:t>dedup_store.json</w:t>
            </w:r>
          </w:p>
        </w:tc>
        <w:tc>
          <w:tcPr>
            <w:tcW w:type="dxa" w:w="4320"/>
          </w:tcPr>
          <w:p>
            <w:r/>
            <w:r>
              <w:rPr>
                <w:sz w:val="20"/>
              </w:rPr>
              <w:t>Mémoire : ce qui a déjà été traité, pour ne jamais le republier.</w:t>
            </w:r>
          </w:p>
        </w:tc>
      </w:tr>
      <w:tr>
        <w:tc>
          <w:tcPr>
            <w:tcW w:type="dxa" w:w="4320"/>
          </w:tcPr>
          <w:p>
            <w:r/>
            <w:r>
              <w:rPr>
                <w:sz w:val="20"/>
              </w:rPr>
              <w:t>diabete-type1-veille.md</w:t>
            </w:r>
          </w:p>
        </w:tc>
        <w:tc>
          <w:tcPr>
            <w:tcW w:type="dxa" w:w="4320"/>
          </w:tcPr>
          <w:p>
            <w:r/>
            <w:r>
              <w:rPr>
                <w:sz w:val="20"/>
              </w:rPr>
              <w:t>Le document surveillé et mis à jour.</w:t>
            </w:r>
          </w:p>
        </w:tc>
      </w:tr>
      <w:tr>
        <w:tc>
          <w:tcPr>
            <w:tcW w:type="dxa" w:w="4320"/>
          </w:tcPr>
          <w:p>
            <w:r/>
            <w:r>
              <w:rPr>
                <w:sz w:val="20"/>
              </w:rPr>
              <w:t>requirements.txt</w:t>
            </w:r>
          </w:p>
        </w:tc>
        <w:tc>
          <w:tcPr>
            <w:tcW w:type="dxa" w:w="4320"/>
          </w:tcPr>
          <w:p>
            <w:r/>
            <w:r>
              <w:rPr>
                <w:sz w:val="20"/>
              </w:rPr>
              <w:t>Liste des bibliothèques Python nécessaires.</w:t>
            </w:r>
          </w:p>
        </w:tc>
      </w:tr>
      <w:tr>
        <w:tc>
          <w:tcPr>
            <w:tcW w:type="dxa" w:w="4320"/>
          </w:tcPr>
          <w:p>
            <w:r/>
            <w:r>
              <w:rPr>
                <w:sz w:val="20"/>
              </w:rPr>
              <w:t>.venv\</w:t>
            </w:r>
          </w:p>
        </w:tc>
        <w:tc>
          <w:tcPr>
            <w:tcW w:type="dxa" w:w="4320"/>
          </w:tcPr>
          <w:p>
            <w:r/>
            <w:r>
              <w:rPr>
                <w:sz w:val="20"/>
              </w:rPr>
              <w:t>Environnement Python isolé (ne pas modifier à la main).</w:t>
            </w:r>
          </w:p>
        </w:tc>
      </w:tr>
      <w:tr>
        <w:tc>
          <w:tcPr>
            <w:tcW w:type="dxa" w:w="4320"/>
          </w:tcPr>
          <w:p>
            <w:r/>
            <w:r>
              <w:rPr>
                <w:sz w:val="20"/>
              </w:rPr>
              <w:t>run_veille.ps1</w:t>
            </w:r>
          </w:p>
        </w:tc>
        <w:tc>
          <w:tcPr>
            <w:tcW w:type="dxa" w:w="4320"/>
          </w:tcPr>
          <w:p>
            <w:r/>
            <w:r>
              <w:rPr>
                <w:sz w:val="20"/>
              </w:rPr>
              <w:t>Lance main.py puis affiche la notification Windows de résultat. À utiliser au quotidien.</w:t>
            </w:r>
          </w:p>
        </w:tc>
      </w:tr>
      <w:tr>
        <w:tc>
          <w:tcPr>
            <w:tcW w:type="dxa" w:w="4320"/>
          </w:tcPr>
          <w:p>
            <w:r/>
            <w:r>
              <w:rPr>
                <w:sz w:val="20"/>
              </w:rPr>
              <w:t>register_task.ps1</w:t>
            </w:r>
          </w:p>
        </w:tc>
        <w:tc>
          <w:tcPr>
            <w:tcW w:type="dxa" w:w="4320"/>
          </w:tcPr>
          <w:p>
            <w:r/>
            <w:r>
              <w:rPr>
                <w:sz w:val="20"/>
              </w:rPr>
              <w:t>Script qui crée la tâche planifiée Windows hebdomadaire (appelle run_veille.ps1).</w:t>
            </w:r>
          </w:p>
        </w:tc>
      </w:tr>
      <w:tr>
        <w:tc>
          <w:tcPr>
            <w:tcW w:type="dxa" w:w="4320"/>
          </w:tcPr>
          <w:p>
            <w:r/>
            <w:r>
              <w:rPr>
                <w:sz w:val="20"/>
              </w:rPr>
              <w:t>logs\veille.log</w:t>
            </w:r>
          </w:p>
        </w:tc>
        <w:tc>
          <w:tcPr>
            <w:tcW w:type="dxa" w:w="4320"/>
          </w:tcPr>
          <w:p>
            <w:r/>
            <w:r>
              <w:rPr>
                <w:sz w:val="20"/>
              </w:rPr>
              <w:t>Journal détaillé de chaque exécution, avec rotation automatique.</w:t>
            </w:r>
          </w:p>
        </w:tc>
      </w:tr>
      <w:tr>
        <w:tc>
          <w:tcPr>
            <w:tcW w:type="dxa" w:w="4320"/>
          </w:tcPr>
          <w:p>
            <w:r/>
            <w:r>
              <w:rPr>
                <w:sz w:val="20"/>
              </w:rPr>
              <w:t>logs\last_run_summary.json</w:t>
            </w:r>
          </w:p>
        </w:tc>
        <w:tc>
          <w:tcPr>
            <w:tcW w:type="dxa" w:w="4320"/>
          </w:tcPr>
          <w:p>
            <w:r/>
            <w:r>
              <w:rPr>
                <w:sz w:val="20"/>
              </w:rPr>
              <w:t>Résumé structuré de la dernière exécution (compteurs, fiches, entrées, avertissements).</w:t>
            </w:r>
          </w:p>
        </w:tc>
      </w:tr>
      <w:tr>
        <w:tc>
          <w:tcPr>
            <w:tcW w:type="dxa" w:w="4320"/>
          </w:tcPr>
          <w:p>
            <w:r/>
            <w:r>
              <w:rPr>
                <w:sz w:val="20"/>
              </w:rPr>
              <w:t>email_credentials.example.yaml</w:t>
            </w:r>
          </w:p>
        </w:tc>
        <w:tc>
          <w:tcPr>
            <w:tcW w:type="dxa" w:w="4320"/>
          </w:tcPr>
          <w:p>
            <w:r/>
            <w:r>
              <w:rPr>
                <w:sz w:val="20"/>
              </w:rPr>
              <w:t>Modèle pour email_credentials.yaml (à créer soi-même, jamais suivi par git).</w:t>
            </w:r>
          </w:p>
        </w:tc>
      </w:tr>
      <w:tr>
        <w:tc>
          <w:tcPr>
            <w:tcW w:type="dxa" w:w="4320"/>
          </w:tcPr>
          <w:p>
            <w:r/>
            <w:r>
              <w:rPr>
                <w:sz w:val="20"/>
              </w:rPr>
              <w:t>README.md</w:t>
            </w:r>
          </w:p>
        </w:tc>
        <w:tc>
          <w:tcPr>
            <w:tcW w:type="dxa" w:w="4320"/>
          </w:tcPr>
          <w:p>
            <w:r/>
            <w:r>
              <w:rPr>
                <w:sz w:val="20"/>
              </w:rPr>
              <w:t>Documentation technique complémentaire (en anglais/français technique).</w:t>
            </w:r>
          </w:p>
        </w:tc>
      </w:tr>
      <w:tr>
        <w:tc>
          <w:tcPr>
            <w:tcW w:type="dxa" w:w="4320"/>
          </w:tcPr>
          <w:p>
            <w:r/>
            <w:r>
              <w:rPr>
                <w:sz w:val="20"/>
              </w:rPr>
              <w:t>Documentation_Veille_DT1.docx</w:t>
            </w:r>
          </w:p>
        </w:tc>
        <w:tc>
          <w:tcPr>
            <w:tcW w:type="dxa" w:w="4320"/>
          </w:tcPr>
          <w:p>
            <w:r/>
            <w:r>
              <w:rPr>
                <w:sz w:val="20"/>
              </w:rPr>
              <w:t>Ce document.</w:t>
            </w:r>
          </w:p>
        </w:tc>
      </w:tr>
    </w:tbl>
    <w:p/>
    <w:p>
      <w:pPr>
        <w:pStyle w:val="Heading2"/>
      </w:pPr>
      <w:r>
        <w:t>2.2 Environnement Python</w:t>
      </w:r>
    </w:p>
    <w:p>
      <w:r>
        <w:t>Un environnement virtuel dédié a été créé pour ne rien mélanger avec d'autres projets :</w:t>
      </w:r>
    </w:p>
    <w:p>
      <w:pPr>
        <w:spacing w:before="40" w:after="200"/>
        <w:ind w:left="283"/>
        <w:shd w:fill="F2F2F2"/>
      </w:pPr>
      <w:r>
        <w:rPr>
          <w:rFonts w:ascii="Consolas" w:hAnsi="Consolas"/>
          <w:color w:val="1A1A1A"/>
          <w:sz w:val="19"/>
        </w:rPr>
        <w:t>py -3 -m venv .venv</w:t>
      </w:r>
      <w:r>
        <w:br/>
      </w:r>
      <w:r>
        <w:rPr>
          <w:rFonts w:ascii="Consolas" w:hAnsi="Consolas"/>
          <w:color w:val="1A1A1A"/>
          <w:sz w:val="19"/>
        </w:rPr>
        <w:t>.\.venv\Scripts\python.exe -m pip install -r requirements.txt</w:t>
      </w:r>
    </w:p>
    <w:p>
      <w:r>
        <w:t>Bibliothèques installées (requirements.txt) :</w:t>
      </w:r>
    </w:p>
    <w:p>
      <w:pPr>
        <w:pStyle w:val="ListBullet"/>
      </w:pPr>
      <w:r>
        <w:t>requests — appels aux API PubMed et ClinicalTrials.gov</w:t>
      </w:r>
    </w:p>
    <w:p>
      <w:pPr>
        <w:pStyle w:val="ListBullet"/>
      </w:pPr>
      <w:r>
        <w:t>feedparser — lecture des flux RSS</w:t>
      </w:r>
    </w:p>
    <w:p>
      <w:pPr>
        <w:pStyle w:val="ListBullet"/>
      </w:pPr>
      <w:r>
        <w:t>PyYAML — lecture du fichier config.yaml</w:t>
      </w:r>
    </w:p>
    <w:p>
      <w:pPr>
        <w:pStyle w:val="ListBullet"/>
      </w:pPr>
      <w:r>
        <w:t>deep-translator — traduction automatique gratuite (Google/MyMemory, sans clé API)</w:t>
      </w:r>
    </w:p>
    <w:p>
      <w:pPr>
        <w:pStyle w:val="ListBullet"/>
      </w:pPr>
      <w:r>
        <w:t>python-dateutil — traitement des dates issues des différentes sources</w:t>
      </w:r>
    </w:p>
    <w:p>
      <w:pPr>
        <w:pStyle w:val="Heading2"/>
      </w:pPr>
      <w:r>
        <w:t>2.3 Le fichier de configuration (config.yaml)</w:t>
      </w:r>
    </w:p>
    <w:p>
      <w:r>
        <w:t>C'est le seul fichier à modifier pour ajuster le comportement de l'automate sans toucher au code Python. Il contient :</w:t>
      </w:r>
    </w:p>
    <w:p>
      <w:pPr>
        <w:pStyle w:val="ListBullet"/>
      </w:pPr>
      <w:r>
        <w:t>Le chemin du fichier Markdown et du fichier de déduplication.</w:t>
      </w:r>
    </w:p>
    <w:p>
      <w:pPr>
        <w:pStyle w:val="ListBullet"/>
      </w:pPr>
      <w:r>
        <w:t>Le format de date (JJ/MM/AAAA, choisi par vos soins).</w:t>
      </w:r>
    </w:p>
    <w:p>
      <w:pPr>
        <w:pStyle w:val="ListBullet"/>
      </w:pPr>
      <w:r>
        <w:t>La fenêtre temporelle de recherche (15 jours par défaut).</w:t>
      </w:r>
    </w:p>
    <w:p>
      <w:pPr>
        <w:pStyle w:val="ListBullet"/>
      </w:pPr>
      <w:r>
        <w:t>Les requêtes PubMed, une par axe (Biologique, Mécanique, Immunothérapie).</w:t>
      </w:r>
    </w:p>
    <w:p>
      <w:pPr>
        <w:pStyle w:val="ListBullet"/>
      </w:pPr>
      <w:r>
        <w:t>La liste des flux RSS suivis, avec pays, catégorie et statut activé/désactivé.</w:t>
      </w:r>
    </w:p>
    <w:p>
      <w:pPr>
        <w:pStyle w:val="ListBullet"/>
      </w:pPr>
      <w:r>
        <w:t>Les listes de mots-clés utilisées pour classer axe, maturité et niveau de risque.</w:t>
      </w:r>
    </w:p>
    <w:p>
      <w:pPr>
        <w:pStyle w:val="ListBullet"/>
      </w:pPr>
      <w:r>
        <w:t>La liste des domaines considérés comme communication officielle.</w:t>
      </w:r>
    </w:p>
    <w:p>
      <w:pPr>
        <w:ind w:left="227"/>
        <w:shd w:fill="EAF1F8"/>
      </w:pPr>
      <w:r>
        <w:rPr>
          <w:b/>
          <w:color w:val="1F4E79"/>
        </w:rPr>
        <w:t xml:space="preserve">Remarque : </w:t>
      </w:r>
      <w:r>
        <w:t>Toute modification de config.yaml prend effet immédiatement au prochain lancement : aucune réinstallation n'est nécessaire.</w:t>
      </w:r>
    </w:p>
    <w:p>
      <w:pPr>
        <w:pStyle w:val="Heading2"/>
      </w:pPr>
      <w:r>
        <w:t>2.4 La mémoire de déduplication (dedup_store.json)</w:t>
      </w:r>
    </w:p>
    <w:p>
      <w:r>
        <w:t>Ce fichier JSON conserve la liste des identifiants (DOI, NCT, ou URL) déjà traités, ainsi qu'un instantané des fiches technologie connues au dernier passage. Il n'est mis à jour qu'en exécution réelle — jamais en mode dry-run (voir section 4).</w:t>
      </w:r>
    </w:p>
    <w:p>
      <w:pPr>
        <w:spacing w:before="40" w:after="200"/>
        <w:ind w:left="283"/>
        <w:shd w:fill="F2F2F2"/>
      </w:pPr>
      <w:r>
        <w:rPr>
          <w:rFonts w:ascii="Consolas" w:hAnsi="Consolas"/>
          <w:color w:val="1A1A1A"/>
          <w:sz w:val="19"/>
        </w:rPr>
        <w:t>{</w:t>
      </w:r>
      <w:r>
        <w:br/>
      </w:r>
      <w:r>
        <w:rPr>
          <w:rFonts w:ascii="Consolas" w:hAnsi="Consolas"/>
          <w:color w:val="1A1A1A"/>
          <w:sz w:val="19"/>
        </w:rPr>
        <w:t xml:space="preserve">  "seen": ["doi:10.1056/nejmoa2506549", "nct:nct04786262", ...],</w:t>
      </w:r>
      <w:r>
        <w:br/>
      </w:r>
      <w:r>
        <w:rPr>
          <w:rFonts w:ascii="Consolas" w:hAnsi="Consolas"/>
          <w:color w:val="1A1A1A"/>
          <w:sz w:val="19"/>
        </w:rPr>
        <w:t xml:space="preserve">  "last_run": "2026-09-18T12:00:00+00:00",</w:t>
      </w:r>
      <w:r>
        <w:br/>
      </w:r>
      <w:r>
        <w:rPr>
          <w:rFonts w:ascii="Consolas" w:hAnsi="Consolas"/>
          <w:color w:val="1A1A1A"/>
          <w:sz w:val="19"/>
        </w:rPr>
        <w:t xml:space="preserve">  "known_fiches": [{"title": "...", "axis": "...", "identifiers": [...]}]</w:t>
      </w:r>
      <w:r>
        <w:br/>
      </w:r>
      <w:r>
        <w:rPr>
          <w:rFonts w:ascii="Consolas" w:hAnsi="Consolas"/>
          <w:color w:val="1A1A1A"/>
          <w:sz w:val="19"/>
        </w:rPr>
        <w:t>}</w:t>
      </w:r>
    </w:p>
    <w:p>
      <w:pPr>
        <w:pStyle w:val="Heading2"/>
      </w:pPr>
      <w:r>
        <w:t>2.5 Notification Windows (run_veille.ps1)</w:t>
      </w:r>
    </w:p>
    <w:p>
      <w:r>
        <w:t>run_veille.ps1 encapsule main.py : il lance l'automate, lit le résumé JSON qu'il produit (logs\last_run_summary.json), puis affiche une notification Windows (toast) avec le résultat — sans installer aucun module externe, via l'API native de Windows 10/11.</w:t>
      </w:r>
    </w:p>
    <w:tbl>
      <w:tblPr>
        <w:tblStyle w:val="LightGrid-Accent1"/>
        <w:tblW w:type="auto" w:w="0"/>
        <w:jc w:val="center"/>
        <w:tblLook w:firstColumn="1" w:firstRow="1" w:lastColumn="0" w:lastRow="0" w:noHBand="0" w:noVBand="1" w:val="04A0"/>
      </w:tblPr>
      <w:tblGrid>
        <w:gridCol w:w="4320"/>
        <w:gridCol w:w="4320"/>
      </w:tblGrid>
      <w:tr>
        <w:tc>
          <w:tcPr>
            <w:tcW w:type="dxa" w:w="4320"/>
          </w:tcPr>
          <w:p>
            <w:r/>
            <w:r>
              <w:rPr>
                <w:b/>
                <w:sz w:val="21"/>
              </w:rPr>
              <w:t>Situation</w:t>
            </w:r>
          </w:p>
        </w:tc>
        <w:tc>
          <w:tcPr>
            <w:tcW w:type="dxa" w:w="4320"/>
          </w:tcPr>
          <w:p>
            <w:r/>
            <w:r>
              <w:rPr>
                <w:b/>
                <w:sz w:val="21"/>
              </w:rPr>
              <w:t>Notification affichée</w:t>
            </w:r>
          </w:p>
        </w:tc>
      </w:tr>
      <w:tr>
        <w:tc>
          <w:tcPr>
            <w:tcW w:type="dxa" w:w="4320"/>
          </w:tcPr>
          <w:p>
            <w:r/>
            <w:r>
              <w:rPr>
                <w:sz w:val="20"/>
              </w:rPr>
              <w:t>Exécution réussie, avec du nouveau</w:t>
            </w:r>
          </w:p>
        </w:tc>
        <w:tc>
          <w:tcPr>
            <w:tcW w:type="dxa" w:w="4320"/>
          </w:tcPr>
          <w:p>
            <w:r/>
            <w:r>
              <w:rPr>
                <w:sz w:val="20"/>
              </w:rPr>
              <w:t>Nombre de fiches mises à jour et de nouvelles entrées.</w:t>
            </w:r>
          </w:p>
        </w:tc>
      </w:tr>
      <w:tr>
        <w:tc>
          <w:tcPr>
            <w:tcW w:type="dxa" w:w="4320"/>
          </w:tcPr>
          <w:p>
            <w:r/>
            <w:r>
              <w:rPr>
                <w:sz w:val="20"/>
              </w:rPr>
              <w:t>Exécution réussie, rien de neuf</w:t>
            </w:r>
          </w:p>
        </w:tc>
        <w:tc>
          <w:tcPr>
            <w:tcW w:type="dxa" w:w="4320"/>
          </w:tcPr>
          <w:p>
            <w:r/>
            <w:r>
              <w:rPr>
                <w:sz w:val="20"/>
              </w:rPr>
              <w:t>« Aucune nouveauté cette semaine ».</w:t>
            </w:r>
          </w:p>
        </w:tc>
      </w:tr>
      <w:tr>
        <w:tc>
          <w:tcPr>
            <w:tcW w:type="dxa" w:w="4320"/>
          </w:tcPr>
          <w:p>
            <w:r/>
            <w:r>
              <w:rPr>
                <w:sz w:val="20"/>
              </w:rPr>
              <w:t>Des avertissements sont survenus</w:t>
            </w:r>
          </w:p>
        </w:tc>
        <w:tc>
          <w:tcPr>
            <w:tcW w:type="dxa" w:w="4320"/>
          </w:tcPr>
          <w:p>
            <w:r/>
            <w:r>
              <w:rPr>
                <w:sz w:val="20"/>
              </w:rPr>
              <w:t>Le nombre d'avertissements est ajouté au message (détail dans logs\veille.log).</w:t>
            </w:r>
          </w:p>
        </w:tc>
      </w:tr>
      <w:tr>
        <w:tc>
          <w:tcPr>
            <w:tcW w:type="dxa" w:w="4320"/>
          </w:tcPr>
          <w:p>
            <w:r/>
            <w:r>
              <w:rPr>
                <w:sz w:val="20"/>
              </w:rPr>
              <w:t>Échec de l'exécution</w:t>
            </w:r>
          </w:p>
        </w:tc>
        <w:tc>
          <w:tcPr>
            <w:tcW w:type="dxa" w:w="4320"/>
          </w:tcPr>
          <w:p>
            <w:r/>
            <w:r>
              <w:rPr>
                <w:sz w:val="20"/>
              </w:rPr>
              <w:t>Le message d'erreur exact, extrait du résumé JSON.</w:t>
            </w:r>
          </w:p>
        </w:tc>
      </w:tr>
    </w:tbl>
    <w:p/>
    <w:p>
      <w:pPr>
        <w:ind w:left="227"/>
        <w:shd w:fill="EAF1F8"/>
      </w:pPr>
      <w:r>
        <w:rPr>
          <w:b/>
          <w:color w:val="1F4E79"/>
        </w:rPr>
        <w:t xml:space="preserve">Remarque : </w:t>
      </w:r>
      <w:r>
        <w:t>La notification ne s'affiche que si une session Windows est ouverte au moment de l'exécution (c'est voulu : elle sert à être vue). Sinon, le résultat reste consultable dans logs\veille.log et logs\last_run_summary.json.</w:t>
      </w:r>
    </w:p>
    <w:p>
      <w:pPr>
        <w:pStyle w:val="Heading2"/>
      </w:pPr>
      <w:r>
        <w:t>2.6 Notification par email (pour quand vous n'êtes pas devant le PC)</w:t>
      </w:r>
    </w:p>
    <w:p>
      <w:r>
        <w:t>En complément de la notification Windows (éphémère), un email peut être envoyé — géré entièrement par main.py (pas par run_veille.ps1), via Gmail SMTP. Utile quand la tâche planifiée s'exécute en votre absence.</w:t>
      </w:r>
    </w:p>
    <w:p>
      <w:r>
        <w:t>Mise en place (à faire une seule fois) :</w:t>
      </w:r>
    </w:p>
    <w:p>
      <w:pPr>
        <w:pStyle w:val="ListBullet"/>
      </w:pPr>
      <w:r>
        <w:t>Sur le compte Google fuz2308@gmail.com, activer la validation en deux étapes si ce n'est pas déjà fait (myaccount.google.com/signinoptions/two-step-verification).</w:t>
      </w:r>
    </w:p>
    <w:p>
      <w:pPr>
        <w:pStyle w:val="ListBullet"/>
      </w:pPr>
      <w:r>
        <w:t>Générer un mot de passe d'application sur myaccount.google.com/apppasswords (choisir « Autre », nommer par exemple « Veille DT1 ») : un code de 16 caractères s'affiche.</w:t>
      </w:r>
    </w:p>
    <w:p>
      <w:pPr>
        <w:pStyle w:val="ListBullet"/>
      </w:pPr>
      <w:r>
        <w:t>Copier email_credentials.example.yaml sous le nom email_credentials.yaml (même dossier) et y coller ce code, à la place de la valeur d'exemple.</w:t>
      </w:r>
    </w:p>
    <w:p>
      <w:pPr>
        <w:ind w:left="227"/>
        <w:shd w:fill="EAF1F8"/>
      </w:pPr>
      <w:r>
        <w:rPr>
          <w:b/>
          <w:color w:val="1F4E79"/>
        </w:rPr>
        <w:t xml:space="preserve">Remarque : </w:t>
      </w:r>
      <w:r>
        <w:t>email_credentials.yaml n'est jamais partagé nulle part par le script — il sert uniquement à s'authentifier auprès de Gmail — et reste exclu du suivi de version (.gitignore).</w:t>
      </w:r>
    </w:p>
    <w:p>
      <w:pPr>
        <w:ind w:left="227"/>
        <w:shd w:fill="EAF1F8"/>
      </w:pPr>
      <w:r>
        <w:rPr>
          <w:b/>
          <w:color w:val="1F4E79"/>
        </w:rPr>
        <w:t xml:space="preserve">Contenu : </w:t>
      </w:r>
      <w:r>
        <w:t>Le mail détaille chaque nouveauté : pour une fiche mise à jour, le texte exact ajouté à Bénéfices/Inconvénients &amp; risques/Source principale ; pour une nouvelle entrée, son résumé (FR) complet, sa maturité, sa confiance et le lien source. Pas besoin d'ouvrir le fichier .md pour avoir le détail.</w:t>
      </w:r>
    </w:p>
    <w:p>
      <w:r>
        <w:t>Comportement, réglé dans config.yaml :</w:t>
      </w:r>
    </w:p>
    <w:p>
      <w:pPr>
        <w:pStyle w:val="ListBullet"/>
      </w:pPr>
      <w:r>
        <w:t>Un seul destinataire pour l'instant (to_addr : jmfusella@free.fr), le temps des tests. Un bloc to_addrs (liste) est prêt en commentaire pour ajouter marionfusella@gmail.com plus tard. Le ou les destinataires peuvent être sur n'importe quel fournisseur : seul l'expéditeur (from_addr) doit être le compte Gmail configuré avec le mot de passe d'application.</w:t>
      </w:r>
    </w:p>
    <w:p>
      <w:pPr>
        <w:pStyle w:val="ListBullet"/>
      </w:pPr>
      <w:r>
        <w:t>Envoyé uniquement en exécution réelle, jamais en --dry-run (sauf --test-email, qui force un envoi de test pour valider la configuration).</w:t>
      </w:r>
    </w:p>
    <w:p>
      <w:pPr>
        <w:pStyle w:val="ListBullet"/>
      </w:pPr>
      <w:r>
        <w:t>Avec only_if_changes: true (réglage actuel) : un email seulement s'il y a au moins une fiche mise à jour, une nouvelle entrée, ou une erreur — jamais pour un « rien à signaler ».</w:t>
      </w:r>
    </w:p>
    <w:p>
      <w:pPr>
        <w:pStyle w:val="ListBullet"/>
      </w:pPr>
      <w:r>
        <w:t>Un échec d'envoi (identifiants absents, réseau, quota Gmail) est journalisé en avertissement mais n'interrompt jamais l'automate.</w:t>
      </w:r>
    </w:p>
    <w:p>
      <w:pPr>
        <w:spacing w:before="40" w:after="200"/>
        <w:ind w:left="283"/>
        <w:shd w:fill="F2F2F2"/>
      </w:pPr>
      <w:r>
        <w:rPr>
          <w:rFonts w:ascii="Consolas" w:hAnsi="Consolas"/>
          <w:color w:val="1A1A1A"/>
          <w:sz w:val="19"/>
        </w:rPr>
        <w:t># Valider la configuration SMTP sans attendre une vraie nouveauté :</w:t>
      </w:r>
      <w:r>
        <w:br/>
      </w:r>
      <w:r>
        <w:rPr>
          <w:rFonts w:ascii="Consolas" w:hAnsi="Consolas"/>
          <w:color w:val="1A1A1A"/>
          <w:sz w:val="19"/>
        </w:rPr>
        <w:t>.\.venv\Scripts\python.exe main.py --dry-run --test-email --limit 1</w:t>
      </w:r>
    </w:p>
    <w:p>
      <w:pPr>
        <w:pStyle w:val="Heading2"/>
      </w:pPr>
      <w:r>
        <w:t>2.7 Planification hebdomadaire</w:t>
      </w:r>
    </w:p>
    <w:p>
      <w:r>
        <w:t>L'environnement choisi est un PC local avec une tâche planifiée Windows (pas de serveur ni de GitHub Actions). Le script register_task.ps1 crée cette tâche — elle appelle run_veille.ps1 (pas main.py directement), donc la notification fonctionne aussi bien manuellement qu'en automatique :</w:t>
      </w:r>
    </w:p>
    <w:p>
      <w:pPr>
        <w:spacing w:before="40" w:after="200"/>
        <w:ind w:left="283"/>
        <w:shd w:fill="F2F2F2"/>
      </w:pPr>
      <w:r>
        <w:rPr>
          <w:rFonts w:ascii="Consolas" w:hAnsi="Consolas"/>
          <w:color w:val="1A1A1A"/>
          <w:sz w:val="19"/>
        </w:rPr>
        <w:t>.\register_task.ps1                                    # chaque lundi 07h00</w:t>
      </w:r>
      <w:r>
        <w:br/>
      </w:r>
      <w:r>
        <w:rPr>
          <w:rFonts w:ascii="Consolas" w:hAnsi="Consolas"/>
          <w:color w:val="1A1A1A"/>
          <w:sz w:val="19"/>
        </w:rPr>
        <w:t>.\register_task.ps1 -DayOfWeek Wednesday -Time "08:30"  # jour/heure personnalisés</w:t>
      </w:r>
      <w:r>
        <w:br/>
      </w:r>
      <w:r>
        <w:rPr>
          <w:rFonts w:ascii="Consolas" w:hAnsi="Consolas"/>
          <w:color w:val="1A1A1A"/>
          <w:sz w:val="19"/>
        </w:rPr>
        <w:t>.\register_task.ps1 -DryRun                             # planifie en mode test uniquement</w:t>
      </w:r>
    </w:p>
    <w:p>
      <w:pPr>
        <w:ind w:left="227"/>
        <w:shd w:fill="EAF1F8"/>
      </w:pPr>
      <w:r>
        <w:rPr>
          <w:b/>
          <w:color w:val="1F4E79"/>
        </w:rPr>
        <w:t xml:space="preserve">Remarque : </w:t>
      </w:r>
      <w:r>
        <w:t>Le PC doit être allumé à l'heure prévue. L'option StartWhenAvailable rattrape automatiquement une exécution manquée au prochain démarrage de la machine.</w:t>
      </w:r>
    </w:p>
    <w:p>
      <w:r>
        <w:br w:type="page"/>
      </w:r>
    </w:p>
    <w:p>
      <w:pPr>
        <w:pStyle w:val="Heading1"/>
      </w:pPr>
      <w:r>
        <w:t>3. Fonctionnement détaillé</w:t>
      </w:r>
    </w:p>
    <w:p>
      <w:pPr>
        <w:pStyle w:val="Heading2"/>
      </w:pPr>
      <w:r>
        <w:t>3.1 Les trois sources de données</w:t>
      </w:r>
    </w:p>
    <w:p>
      <w:pPr>
        <w:pStyle w:val="Heading3"/>
      </w:pPr>
      <w:r>
        <w:t>3.1.1 PubMed</w:t>
      </w:r>
    </w:p>
    <w:p>
      <w:r>
        <w:t>Interrogé via l'API E-utilities du NCBI, avec une requête distincte par axe (Biologique, Mécanique, Immunothérapie), toujours combinée avec « type 1 diabetes ». Chaque article ramène : titre, résumé, date, DOI si disponible, pays de la revue.</w:t>
      </w:r>
    </w:p>
    <w:p>
      <w:pPr>
        <w:pStyle w:val="Heading3"/>
      </w:pPr>
      <w:r>
        <w:t>3.1.2 ClinicalTrials.gov</w:t>
      </w:r>
    </w:p>
    <w:p>
      <w:r>
        <w:t>Interrogé via l'API REST v2, filtré sur les essais mis à jour dans la fenêtre temporelle et sur la condition « Type 1 Diabetes ». Comme cette recherche remonte parfois des essais hors-sujet (diabète de type 2, volontaires sains), un second contrôle vérifie le champ structuré « conditions » de chaque essai avant de le retenir.</w:t>
      </w:r>
    </w:p>
    <w:p>
      <w:pPr>
        <w:pStyle w:val="Heading3"/>
      </w:pPr>
      <w:r>
        <w:t>3.1.3 Flux RSS</w:t>
      </w:r>
    </w:p>
    <w:p>
      <w:r>
        <w:t>Flux d'agences réglementaires (FDA, EMA, ANSM), d'associations (Breakthrough T1D) et d'industriels (Vertex, Eli Lilly). Ces flux publiant toutes leurs actualités (pas seulement le DT1), chaque entrée est vérifiée : elle doit mentionner explicitement « type 1 diabetes », « DT1 » ou équivalent pour être retenue.</w:t>
      </w:r>
    </w:p>
    <w:p>
      <w:pPr>
        <w:pStyle w:val="Heading2"/>
      </w:pPr>
      <w:r>
        <w:t>3.2 Résumé strictement extractif</w:t>
      </w:r>
    </w:p>
    <w:p>
      <w:r>
        <w:t>Le « Résumé (FR) » n'est jamais rédigé ni reformulé par une intelligence artificielle : aucune clé d'API de traduction/rédaction payante n'a été fournie. Le script prend donc les toutes premières phrases du résumé/communiqué source (extraction pure, sans ajout), puis les traduit mot à mot en français.</w:t>
      </w:r>
    </w:p>
    <w:p>
      <w:pPr>
        <w:ind w:left="227"/>
        <w:shd w:fill="EAF1F8"/>
      </w:pPr>
      <w:r>
        <w:rPr>
          <w:b/>
          <w:color w:val="1F4E79"/>
        </w:rPr>
        <w:t xml:space="preserve">Remarque : </w:t>
      </w:r>
      <w:r>
        <w:t>Conséquence assumée : le résumé est fidèle à 100 % à la source, mais un peu moins fluide qu'une reformulation par IA. Si une clé Anthropic/OpenAI est fournie plus tard, la fonction translate_fr() peut être remplacée par un appel encadré à cette API.</w:t>
      </w:r>
    </w:p>
    <w:p>
      <w:r>
        <w:t>Deux moteurs de traduction gratuits sont utilisés, dans cet ordre :</w:t>
      </w:r>
    </w:p>
    <w:p>
      <w:pPr>
        <w:pStyle w:val="ListBullet"/>
      </w:pPr>
      <w:r>
        <w:t>Google Translate (non officiel, via la bibliothèque deep-translator).</w:t>
      </w:r>
    </w:p>
    <w:p>
      <w:pPr>
        <w:pStyle w:val="ListBullet"/>
      </w:pPr>
      <w:r>
        <w:t>MyMemory, utilisé uniquement si le premier échoue (quota atteint, panne réseau).</w:t>
      </w:r>
    </w:p>
    <w:p>
      <w:pPr>
        <w:ind w:left="227"/>
        <w:shd w:fill="EAF1F8"/>
      </w:pPr>
      <w:r>
        <w:rPr>
          <w:b/>
          <w:color w:val="1F4E79"/>
        </w:rPr>
        <w:t xml:space="preserve">Remarque : </w:t>
      </w:r>
      <w:r>
        <w:t>Si les deux échouent, le texte source est conservé, précédé de la mention « [traduction automatique indisponible] », plutôt que d'insérer une traduction inventée ou de faire échouer toute l'exécution.</w:t>
      </w:r>
    </w:p>
    <w:p>
      <w:pPr>
        <w:pStyle w:val="Heading2"/>
      </w:pPr>
      <w:r>
        <w:t>3.3 Classification automatique</w:t>
      </w:r>
    </w:p>
    <w:tbl>
      <w:tblPr>
        <w:tblStyle w:val="LightGrid-Accent1"/>
        <w:tblW w:type="auto" w:w="0"/>
        <w:jc w:val="center"/>
        <w:tblLook w:firstColumn="1" w:firstRow="1" w:lastColumn="0" w:lastRow="0" w:noHBand="0" w:noVBand="1" w:val="04A0"/>
      </w:tblPr>
      <w:tblGrid>
        <w:gridCol w:w="4320"/>
        <w:gridCol w:w="4320"/>
      </w:tblGrid>
      <w:tr>
        <w:tc>
          <w:tcPr>
            <w:tcW w:type="dxa" w:w="4320"/>
          </w:tcPr>
          <w:p>
            <w:r/>
            <w:r>
              <w:rPr>
                <w:b/>
                <w:sz w:val="21"/>
              </w:rPr>
              <w:t>Champ</w:t>
            </w:r>
          </w:p>
        </w:tc>
        <w:tc>
          <w:tcPr>
            <w:tcW w:type="dxa" w:w="4320"/>
          </w:tcPr>
          <w:p>
            <w:r/>
            <w:r>
              <w:rPr>
                <w:b/>
                <w:sz w:val="21"/>
              </w:rPr>
              <w:t>Méthode</w:t>
            </w:r>
          </w:p>
        </w:tc>
      </w:tr>
      <w:tr>
        <w:tc>
          <w:tcPr>
            <w:tcW w:type="dxa" w:w="4320"/>
          </w:tcPr>
          <w:p>
            <w:r/>
            <w:r>
              <w:rPr>
                <w:sz w:val="20"/>
              </w:rPr>
              <w:t>Axe</w:t>
            </w:r>
          </w:p>
        </w:tc>
        <w:tc>
          <w:tcPr>
            <w:tcW w:type="dxa" w:w="4320"/>
          </w:tcPr>
          <w:p>
            <w:r/>
            <w:r>
              <w:rPr>
                <w:sz w:val="20"/>
              </w:rPr>
              <w:t>Comptage de mots-clés (config.yaml : axis_keywords) dans le titre + résumé.</w:t>
            </w:r>
          </w:p>
        </w:tc>
      </w:tr>
      <w:tr>
        <w:tc>
          <w:tcPr>
            <w:tcW w:type="dxa" w:w="4320"/>
          </w:tcPr>
          <w:p>
            <w:r/>
            <w:r>
              <w:rPr>
                <w:sz w:val="20"/>
              </w:rPr>
              <w:t>Maturité</w:t>
            </w:r>
          </w:p>
        </w:tc>
        <w:tc>
          <w:tcPr>
            <w:tcW w:type="dxa" w:w="4320"/>
          </w:tcPr>
          <w:p>
            <w:r/>
            <w:r>
              <w:rPr>
                <w:sz w:val="20"/>
              </w:rPr>
              <w:t>Recherche de mots-clés par ordre de priorité (Commercialisé &gt; Phase 3 &gt; … &gt; Préclinique).</w:t>
            </w:r>
          </w:p>
        </w:tc>
      </w:tr>
      <w:tr>
        <w:tc>
          <w:tcPr>
            <w:tcW w:type="dxa" w:w="4320"/>
          </w:tcPr>
          <w:p>
            <w:r/>
            <w:r>
              <w:rPr>
                <w:sz w:val="20"/>
              </w:rPr>
              <w:t>Type de document</w:t>
            </w:r>
          </w:p>
        </w:tc>
        <w:tc>
          <w:tcPr>
            <w:tcW w:type="dxa" w:w="4320"/>
          </w:tcPr>
          <w:p>
            <w:r/>
            <w:r>
              <w:rPr>
                <w:sz w:val="20"/>
              </w:rPr>
              <w:t>Déduit de la source : Article (PubMed), Essai clinique (ClinicalTrials.gov), Communiqué (RSS).</w:t>
            </w:r>
          </w:p>
        </w:tc>
      </w:tr>
      <w:tr>
        <w:tc>
          <w:tcPr>
            <w:tcW w:type="dxa" w:w="4320"/>
          </w:tcPr>
          <w:p>
            <w:r/>
            <w:r>
              <w:rPr>
                <w:sz w:val="20"/>
              </w:rPr>
              <w:t>Pays</w:t>
            </w:r>
          </w:p>
        </w:tc>
        <w:tc>
          <w:tcPr>
            <w:tcW w:type="dxa" w:w="4320"/>
          </w:tcPr>
          <w:p>
            <w:r/>
            <w:r>
              <w:rPr>
                <w:sz w:val="20"/>
              </w:rPr>
              <w:t>ClinicalTrials.gov : lieux des centres. PubMed : pays de la revue. RSS : pays configuré pour l'organisme.</w:t>
            </w:r>
          </w:p>
        </w:tc>
      </w:tr>
    </w:tbl>
    <w:p/>
    <w:p>
      <w:pPr>
        <w:pStyle w:val="Heading2"/>
      </w:pPr>
      <w:r>
        <w:t>3.4 Règles de niveau de confiance</w:t>
      </w:r>
    </w:p>
    <w:tbl>
      <w:tblPr>
        <w:tblStyle w:val="LightGrid-Accent1"/>
        <w:tblW w:type="auto" w:w="0"/>
        <w:jc w:val="center"/>
        <w:tblLook w:firstColumn="1" w:firstRow="1" w:lastColumn="0" w:lastRow="0" w:noHBand="0" w:noVBand="1" w:val="04A0"/>
      </w:tblPr>
      <w:tblGrid>
        <w:gridCol w:w="4320"/>
        <w:gridCol w:w="4320"/>
      </w:tblGrid>
      <w:tr>
        <w:tc>
          <w:tcPr>
            <w:tcW w:type="dxa" w:w="4320"/>
          </w:tcPr>
          <w:p>
            <w:r/>
            <w:r>
              <w:rPr>
                <w:b/>
                <w:sz w:val="21"/>
              </w:rPr>
              <w:t>Niveau</w:t>
            </w:r>
          </w:p>
        </w:tc>
        <w:tc>
          <w:tcPr>
            <w:tcW w:type="dxa" w:w="4320"/>
          </w:tcPr>
          <w:p>
            <w:r/>
            <w:r>
              <w:rPr>
                <w:b/>
                <w:sz w:val="21"/>
              </w:rPr>
              <w:t>Condition</w:t>
            </w:r>
          </w:p>
        </w:tc>
      </w:tr>
      <w:tr>
        <w:tc>
          <w:tcPr>
            <w:tcW w:type="dxa" w:w="4320"/>
          </w:tcPr>
          <w:p>
            <w:r/>
            <w:r>
              <w:rPr>
                <w:sz w:val="20"/>
              </w:rPr>
              <w:t>Élevé</w:t>
            </w:r>
          </w:p>
        </w:tc>
        <w:tc>
          <w:tcPr>
            <w:tcW w:type="dxa" w:w="4320"/>
          </w:tcPr>
          <w:p>
            <w:r/>
            <w:r>
              <w:rPr>
                <w:sz w:val="20"/>
              </w:rPr>
              <w:t>ClinicalTrials.gov (a toujours un NCT), PubMed avec DOI, ou communiqué RSS citant lui-même un DOI/NCT.</w:t>
            </w:r>
          </w:p>
        </w:tc>
      </w:tr>
      <w:tr>
        <w:tc>
          <w:tcPr>
            <w:tcW w:type="dxa" w:w="4320"/>
          </w:tcPr>
          <w:p>
            <w:r/>
            <w:r>
              <w:rPr>
                <w:sz w:val="20"/>
              </w:rPr>
              <w:t>Moyen</w:t>
            </w:r>
          </w:p>
        </w:tc>
        <w:tc>
          <w:tcPr>
            <w:tcW w:type="dxa" w:w="4320"/>
          </w:tcPr>
          <w:p>
            <w:r/>
            <w:r>
              <w:rPr>
                <w:sz w:val="20"/>
              </w:rPr>
              <w:t>PubMed sans DOI récupéré, ou communiqué officiel d'un domaine reconnu (official_org_domains) sans DOI/NCT.</w:t>
            </w:r>
          </w:p>
        </w:tc>
      </w:tr>
      <w:tr>
        <w:tc>
          <w:tcPr>
            <w:tcW w:type="dxa" w:w="4320"/>
          </w:tcPr>
          <w:p>
            <w:r/>
            <w:r>
              <w:rPr>
                <w:sz w:val="20"/>
              </w:rPr>
              <w:t>Faible</w:t>
            </w:r>
          </w:p>
        </w:tc>
        <w:tc>
          <w:tcPr>
            <w:tcW w:type="dxa" w:w="4320"/>
          </w:tcPr>
          <w:p>
            <w:r/>
            <w:r>
              <w:rPr>
                <w:sz w:val="20"/>
              </w:rPr>
              <w:t>Tout le reste — toujours inséré avec la mention explicite « non confirmé », jamais supprimé silencieusement.</w:t>
            </w:r>
          </w:p>
        </w:tc>
      </w:tr>
    </w:tbl>
    <w:p/>
    <w:p>
      <w:pPr>
        <w:pStyle w:val="Heading2"/>
      </w:pPr>
      <w:r>
        <w:t>3.5 La logique à deux niveaux (cœur du système)</w:t>
      </w:r>
    </w:p>
    <w:p>
      <w:r>
        <w:t>Chaque nouveauté suit l'un des deux chemins suivants, jamais les deux à la fois :</w:t>
      </w:r>
    </w:p>
    <w:p>
      <w:pPr>
        <w:pStyle w:val="Heading3"/>
      </w:pPr>
      <w:r>
        <w:t>3.5.1 Cas 1 — Mise à jour d'une fiche existante</w:t>
      </w:r>
    </w:p>
    <w:p>
      <w:r>
        <w:t>Si le titre de la nouveauté contient un identifiant exact d'une fiche déjà suivie (ex. « VX-880 » pour la fiche « Zimislecel (VX-880) »), et que sa confiance n'est pas Faible, l'automate met à jour, et uniquement, ces 4 champs de la fiche :</w:t>
      </w:r>
    </w:p>
    <w:p>
      <w:pPr>
        <w:pStyle w:val="ListBullet"/>
      </w:pPr>
      <w:r>
        <w:t>Maturité — remplacée seulement si la nouveauté fait progresser le stade (Préclinique &lt; Phase 1 &lt; Phase 2 &lt; Phase 3 &lt; Commercialisé) ; jamais de régression.</w:t>
      </w:r>
    </w:p>
    <w:p>
      <w:pPr>
        <w:pStyle w:val="ListBullet"/>
      </w:pPr>
      <w:r>
        <w:t>Bénéfices — le résumé traduit y est ajouté (jamais effacé), daté entre crochets.</w:t>
      </w:r>
    </w:p>
    <w:p>
      <w:pPr>
        <w:pStyle w:val="ListBullet"/>
      </w:pPr>
      <w:r>
        <w:t>Inconvénients &amp; risques — idem, pour les phrases contenant un mot-clé de risque.</w:t>
      </w:r>
    </w:p>
    <w:p>
      <w:pPr>
        <w:pStyle w:val="ListBullet"/>
      </w:pPr>
      <w:r>
        <w:t>Source principale — la nouvelle source est ajoutée à la suite, sauf doublon.</w:t>
      </w:r>
    </w:p>
    <w:p>
      <w:r>
        <w:t>Le titre de la fiche et son « Niveau de confiance » (jugement curé manuellement) ne sont jamais modifiés automatiquement. Aucune nouvelle fiche n'est jamais créée.</w:t>
      </w:r>
    </w:p>
    <w:p>
      <w:pPr>
        <w:ind w:left="227"/>
        <w:shd w:fill="EAF1F8"/>
      </w:pPr>
      <w:r>
        <w:rPr>
          <w:b/>
          <w:color w:val="1F4E79"/>
        </w:rPr>
        <w:t xml:space="preserve">Remarque : </w:t>
      </w:r>
      <w:r>
        <w:t>Un article sur un essai de phase 3 concernant une NOUVELLE indication d'un médicament déjà commercialisé ne fait donc jamais repasser sa fiche de « Commercialisé » à « Phase 3 » — un cas réellement rencontré en test (Teplizumab) et corrigé à cette occasion.</w:t>
      </w:r>
    </w:p>
    <w:p>
      <w:pPr>
        <w:ind w:left="227"/>
        <w:shd w:fill="EAF1F8"/>
      </w:pPr>
      <w:r>
        <w:rPr>
          <w:b/>
          <w:color w:val="1F4E79"/>
        </w:rPr>
        <w:t xml:space="preserve">Remarque : </w:t>
      </w:r>
      <w:r>
        <w:t>La correspondance est une comparaison de CHAÎNE exacte (insensible à la casse et aux espaces), jamais une compréhension du sens. En cas d'ambiguïté (plusieurs fiches semblent correspondre), l'automate refuse de choisir et traite l'élément comme une nouveauté ordinaire.</w:t>
      </w:r>
    </w:p>
    <w:p>
      <w:pPr>
        <w:pStyle w:val="Heading3"/>
      </w:pPr>
      <w:r>
        <w:t>3.5.2 Cas 2 — Nouvelle entrée en section 5</w:t>
      </w:r>
    </w:p>
    <w:p>
      <w:r>
        <w:t>Si aucune fiche ne correspond (nouvelle technologie, conférence, annonce réglementaire), ou si la confiance est Faible, une nouvelle entrée est ajoutée en tête de la section 5, sans jamais écraser les entrées précédentes :</w:t>
      </w:r>
    </w:p>
    <w:p>
      <w:pPr>
        <w:spacing w:before="40" w:after="200"/>
        <w:ind w:left="283"/>
        <w:shd w:fill="F2F2F2"/>
      </w:pPr>
      <w:r>
        <w:rPr>
          <w:rFonts w:ascii="Consolas" w:hAnsi="Consolas"/>
          <w:color w:val="1A1A1A"/>
          <w:sz w:val="19"/>
        </w:rPr>
        <w:t>#### [JJ/MM/AAAA] [Pays] — Titre traduit en français</w:t>
      </w:r>
      <w:r>
        <w:br/>
      </w:r>
      <w:r>
        <w:rPr>
          <w:rFonts w:ascii="Consolas" w:hAnsi="Consolas"/>
          <w:color w:val="1A1A1A"/>
          <w:sz w:val="19"/>
        </w:rPr>
      </w:r>
      <w:r>
        <w:br/>
      </w:r>
      <w:r>
        <w:rPr>
          <w:rFonts w:ascii="Consolas" w:hAnsi="Consolas"/>
          <w:color w:val="1A1A1A"/>
          <w:sz w:val="19"/>
        </w:rPr>
        <w:t>- **Axe** : Biologique / Mécanique / Immunothérapie</w:t>
      </w:r>
      <w:r>
        <w:br/>
      </w:r>
      <w:r>
        <w:rPr>
          <w:rFonts w:ascii="Consolas" w:hAnsi="Consolas"/>
          <w:color w:val="1A1A1A"/>
          <w:sz w:val="19"/>
        </w:rPr>
        <w:t>- **Type** : Article / Essai clinique / Communiqué</w:t>
      </w:r>
      <w:r>
        <w:br/>
      </w:r>
      <w:r>
        <w:rPr>
          <w:rFonts w:ascii="Consolas" w:hAnsi="Consolas"/>
          <w:color w:val="1A1A1A"/>
          <w:sz w:val="19"/>
        </w:rPr>
        <w:t>- **Maturité** : Préclinique / Phase 1/2/3 / Commercialisé</w:t>
      </w:r>
      <w:r>
        <w:br/>
      </w:r>
      <w:r>
        <w:rPr>
          <w:rFonts w:ascii="Consolas" w:hAnsi="Consolas"/>
          <w:color w:val="1A1A1A"/>
          <w:sz w:val="19"/>
        </w:rPr>
        <w:t>- **Résumé (FR)** : 3 à 5 phrases, basées uniquement sur l'extrait source</w:t>
      </w:r>
      <w:r>
        <w:br/>
      </w:r>
      <w:r>
        <w:rPr>
          <w:rFonts w:ascii="Consolas" w:hAnsi="Consolas"/>
          <w:color w:val="1A1A1A"/>
          <w:sz w:val="19"/>
        </w:rPr>
        <w:t>- **Niveau de confiance** : Élevé / Moyen / Faible</w:t>
      </w:r>
      <w:r>
        <w:br/>
      </w:r>
      <w:r>
        <w:rPr>
          <w:rFonts w:ascii="Consolas" w:hAnsi="Consolas"/>
          <w:color w:val="1A1A1A"/>
          <w:sz w:val="19"/>
        </w:rPr>
        <w:t>- **Source** : [Nom](URL ou DOI/NCT)</w:t>
      </w:r>
    </w:p>
    <w:p>
      <w:pPr>
        <w:pStyle w:val="Heading2"/>
      </w:pPr>
      <w:r>
        <w:t>3.6 Déduplication</w:t>
      </w:r>
    </w:p>
    <w:p>
      <w:r>
        <w:t>Chaque élément traité (DOI, identifiant NCT, ou URL) est enregistré dans dedup_store.json après une exécution réelle. Au lancement suivant, tout élément déjà présent dans cette liste est ignoré — qu'il ait donné lieu à une mise à jour de fiche ou à une nouvelle entrée.</w:t>
      </w:r>
    </w:p>
    <w:p>
      <w:r>
        <w:br w:type="page"/>
      </w:r>
    </w:p>
    <w:p>
      <w:pPr>
        <w:pStyle w:val="Heading1"/>
      </w:pPr>
      <w:r>
        <w:t>4. Utilisation au quotidien</w:t>
      </w:r>
    </w:p>
    <w:p>
      <w:pPr>
        <w:ind w:left="227"/>
        <w:shd w:fill="EAF1F8"/>
      </w:pPr>
      <w:r>
        <w:rPr>
          <w:b/>
          <w:color w:val="1F4E79"/>
        </w:rPr>
        <w:t xml:space="preserve">Remarque : </w:t>
      </w:r>
      <w:r>
        <w:t>Au quotidien, préférez run_veille.ps1 à un appel direct de main.py : il fait exactement la même chose, en ajoutant la notification Windows de résultat (voir 2.5). Les commandes main.py ci-dessous restent utiles pour un débogage ciblé.</w:t>
      </w:r>
    </w:p>
    <w:p>
      <w:pPr>
        <w:pStyle w:val="Heading2"/>
      </w:pPr>
      <w:r>
        <w:t>4.1 Toujours commencer par un essai à blanc (dry-run)</w:t>
      </w:r>
    </w:p>
    <w:p>
      <w:r>
        <w:t>Le mode --dry-run affiche les changements proposés (différences ligne à ligne) sans jamais écrire dans le fichier .md ni dans dedup_store.json (le résumé JSON et la notification sont quand même produits) :</w:t>
      </w:r>
    </w:p>
    <w:p>
      <w:pPr>
        <w:spacing w:before="40" w:after="200"/>
        <w:ind w:left="283"/>
        <w:shd w:fill="F2F2F2"/>
      </w:pPr>
      <w:r>
        <w:rPr>
          <w:rFonts w:ascii="Consolas" w:hAnsi="Consolas"/>
          <w:color w:val="1A1A1A"/>
          <w:sz w:val="19"/>
        </w:rPr>
        <w:t>cd "D:\Prog_Python\Veille_Diabete_Type_1"</w:t>
      </w:r>
      <w:r>
        <w:br/>
      </w:r>
      <w:r>
        <w:rPr>
          <w:rFonts w:ascii="Consolas" w:hAnsi="Consolas"/>
          <w:color w:val="1A1A1A"/>
          <w:sz w:val="19"/>
        </w:rPr>
        <w:t>.\run_veille.ps1 -DryRun               # avec notification (recommandé)</w:t>
      </w:r>
      <w:r>
        <w:br/>
      </w:r>
      <w:r>
        <w:rPr>
          <w:rFonts w:ascii="Consolas" w:hAnsi="Consolas"/>
          <w:color w:val="1A1A1A"/>
          <w:sz w:val="19"/>
        </w:rPr>
        <w:t>.\.venv\Scripts\python.exe main.py --dry-run   # équivalent, sans notification</w:t>
      </w:r>
    </w:p>
    <w:p>
      <w:pPr>
        <w:ind w:left="227"/>
        <w:shd w:fill="EAF1F8"/>
      </w:pPr>
      <w:r>
        <w:rPr>
          <w:b/>
          <w:color w:val="1F4E79"/>
        </w:rPr>
        <w:t xml:space="preserve">Remarque : </w:t>
      </w:r>
      <w:r>
        <w:t>Recommandation : lisez systématiquement ce diff avant de lancer une exécution réelle, au moins les premières semaines, le temps de vérifier la pertinence des entrées proposées.</w:t>
      </w:r>
    </w:p>
    <w:p>
      <w:pPr>
        <w:pStyle w:val="Heading2"/>
      </w:pPr>
      <w:r>
        <w:t>4.2 Lancer une exécution réelle</w:t>
      </w:r>
    </w:p>
    <w:p>
      <w:pPr>
        <w:spacing w:before="40" w:after="200"/>
        <w:ind w:left="283"/>
        <w:shd w:fill="F2F2F2"/>
      </w:pPr>
      <w:r>
        <w:rPr>
          <w:rFonts w:ascii="Consolas" w:hAnsi="Consolas"/>
          <w:color w:val="1A1A1A"/>
          <w:sz w:val="19"/>
        </w:rPr>
        <w:t>.\run_veille.ps1                       # avec notification (recommandé)</w:t>
      </w:r>
      <w:r>
        <w:br/>
      </w:r>
      <w:r>
        <w:rPr>
          <w:rFonts w:ascii="Consolas" w:hAnsi="Consolas"/>
          <w:color w:val="1A1A1A"/>
          <w:sz w:val="19"/>
        </w:rPr>
        <w:t>.\.venv\Scripts\python.exe main.py    # équivalent, sans notification</w:t>
      </w:r>
    </w:p>
    <w:p>
      <w:r>
        <w:t>Cette commande modifie diabete-type1-veille.md et met à jour dedup_store.json. C'est cette même commande (via run_veille.ps1) que la tâche planifiée Windows exécute chaque semaine.</w:t>
      </w:r>
    </w:p>
    <w:p>
      <w:pPr>
        <w:pStyle w:val="Heading2"/>
      </w:pPr>
      <w:r>
        <w:t>4.3 Tester sur une période passée précise</w:t>
      </w:r>
    </w:p>
    <w:p>
      <w:r>
        <w:t>Utile pour rejouer une semaine spécifique ou déboguer un cas particulier :</w:t>
      </w:r>
    </w:p>
    <w:p>
      <w:pPr>
        <w:spacing w:before="40" w:after="200"/>
        <w:ind w:left="283"/>
        <w:shd w:fill="F2F2F2"/>
      </w:pPr>
      <w:r>
        <w:rPr>
          <w:rFonts w:ascii="Consolas" w:hAnsi="Consolas"/>
          <w:color w:val="1A1A1A"/>
          <w:sz w:val="19"/>
        </w:rPr>
        <w:t>.\.venv\Scripts\python.exe main.py --dry-run --window-start 2026-09-01 --window-end 2026-09-18 --ignore-dedup</w:t>
      </w:r>
    </w:p>
    <w:tbl>
      <w:tblPr>
        <w:tblStyle w:val="LightGrid-Accent1"/>
        <w:tblW w:type="auto" w:w="0"/>
        <w:jc w:val="center"/>
        <w:tblLook w:firstColumn="1" w:firstRow="1" w:lastColumn="0" w:lastRow="0" w:noHBand="0" w:noVBand="1" w:val="04A0"/>
      </w:tblPr>
      <w:tblGrid>
        <w:gridCol w:w="4320"/>
        <w:gridCol w:w="4320"/>
      </w:tblGrid>
      <w:tr>
        <w:tc>
          <w:tcPr>
            <w:tcW w:type="dxa" w:w="4320"/>
          </w:tcPr>
          <w:p>
            <w:r/>
            <w:r>
              <w:rPr>
                <w:b/>
                <w:sz w:val="21"/>
              </w:rPr>
              <w:t>Option</w:t>
            </w:r>
          </w:p>
        </w:tc>
        <w:tc>
          <w:tcPr>
            <w:tcW w:type="dxa" w:w="4320"/>
          </w:tcPr>
          <w:p>
            <w:r/>
            <w:r>
              <w:rPr>
                <w:b/>
                <w:sz w:val="21"/>
              </w:rPr>
              <w:t>Effet</w:t>
            </w:r>
          </w:p>
        </w:tc>
      </w:tr>
      <w:tr>
        <w:tc>
          <w:tcPr>
            <w:tcW w:type="dxa" w:w="4320"/>
          </w:tcPr>
          <w:p>
            <w:r/>
            <w:r>
              <w:rPr>
                <w:sz w:val="20"/>
              </w:rPr>
              <w:t>--dry-run</w:t>
            </w:r>
          </w:p>
        </w:tc>
        <w:tc>
          <w:tcPr>
            <w:tcW w:type="dxa" w:w="4320"/>
          </w:tcPr>
          <w:p>
            <w:r/>
            <w:r>
              <w:rPr>
                <w:sz w:val="20"/>
              </w:rPr>
              <w:t>N'écrit rien, affiche seulement le diff proposé.</w:t>
            </w:r>
          </w:p>
        </w:tc>
      </w:tr>
      <w:tr>
        <w:tc>
          <w:tcPr>
            <w:tcW w:type="dxa" w:w="4320"/>
          </w:tcPr>
          <w:p>
            <w:r/>
            <w:r>
              <w:rPr>
                <w:sz w:val="20"/>
              </w:rPr>
              <w:t>--window-start / --window-end</w:t>
            </w:r>
          </w:p>
        </w:tc>
        <w:tc>
          <w:tcPr>
            <w:tcW w:type="dxa" w:w="4320"/>
          </w:tcPr>
          <w:p>
            <w:r/>
            <w:r>
              <w:rPr>
                <w:sz w:val="20"/>
              </w:rPr>
              <w:t>Fixe une fenêtre de dates précise (AAAA-MM-JJ) au lieu des 15 derniers jours.</w:t>
            </w:r>
          </w:p>
        </w:tc>
      </w:tr>
      <w:tr>
        <w:tc>
          <w:tcPr>
            <w:tcW w:type="dxa" w:w="4320"/>
          </w:tcPr>
          <w:p>
            <w:r/>
            <w:r>
              <w:rPr>
                <w:sz w:val="20"/>
              </w:rPr>
              <w:t>--ignore-dedup</w:t>
            </w:r>
          </w:p>
        </w:tc>
        <w:tc>
          <w:tcPr>
            <w:tcW w:type="dxa" w:w="4320"/>
          </w:tcPr>
          <w:p>
            <w:r/>
            <w:r>
              <w:rPr>
                <w:sz w:val="20"/>
              </w:rPr>
              <w:t>Retraite des éléments déjà vus (pour rejouer un test) — jamais en exécution réelle normale.</w:t>
            </w:r>
          </w:p>
        </w:tc>
      </w:tr>
      <w:tr>
        <w:tc>
          <w:tcPr>
            <w:tcW w:type="dxa" w:w="4320"/>
          </w:tcPr>
          <w:p>
            <w:r/>
            <w:r>
              <w:rPr>
                <w:sz w:val="20"/>
              </w:rPr>
              <w:t>--limit N</w:t>
            </w:r>
          </w:p>
        </w:tc>
        <w:tc>
          <w:tcPr>
            <w:tcW w:type="dxa" w:w="4320"/>
          </w:tcPr>
          <w:p>
            <w:r/>
            <w:r>
              <w:rPr>
                <w:sz w:val="20"/>
              </w:rPr>
              <w:t>Limite le nombre d'entrées traitées (utile pour un test rapide).</w:t>
            </w:r>
          </w:p>
        </w:tc>
      </w:tr>
    </w:tbl>
    <w:p/>
    <w:p>
      <w:pPr>
        <w:pStyle w:val="Heading2"/>
      </w:pPr>
      <w:r>
        <w:t>4.4 Lire les résultats</w:t>
      </w:r>
    </w:p>
    <w:p>
      <w:pPr>
        <w:pStyle w:val="ListBullet"/>
      </w:pPr>
      <w:r>
        <w:t>Le diff affiché à l'écran (ou dans logs\veille.log) montre exactement ce qui a été ajouté, ligne par ligne, avec un « + » devant chaque ligne nouvelle.</w:t>
      </w:r>
    </w:p>
    <w:p>
      <w:pPr>
        <w:pStyle w:val="ListBullet"/>
      </w:pPr>
      <w:r>
        <w:t>Le journal logs\veille.log conserve l'historique complet de chaque exécution : nombre d'éléments trouvés par source, éléments filtrés, erreurs éventuelles.</w:t>
      </w:r>
    </w:p>
    <w:p>
      <w:pPr>
        <w:pStyle w:val="Heading2"/>
      </w:pPr>
      <w:r>
        <w:t>4.5 Modifier la configuration</w:t>
      </w:r>
    </w:p>
    <w:p>
      <w:pPr>
        <w:pStyle w:val="Heading3"/>
      </w:pPr>
      <w:r>
        <w:t>4.5.1 Ajouter ou désactiver un flux RSS</w:t>
      </w:r>
    </w:p>
    <w:p>
      <w:r>
        <w:t>Dans config.yaml, section rss_feeds, chaque flux a la forme :</w:t>
      </w:r>
    </w:p>
    <w:p>
      <w:pPr>
        <w:spacing w:before="40" w:after="200"/>
        <w:ind w:left="283"/>
        <w:shd w:fill="F2F2F2"/>
      </w:pPr>
      <w:r>
        <w:rPr>
          <w:rFonts w:ascii="Consolas" w:hAnsi="Consolas"/>
          <w:color w:val="1A1A1A"/>
          <w:sz w:val="19"/>
        </w:rPr>
        <w:t>- name: "Nom affiché dans le champ Source"</w:t>
      </w:r>
      <w:r>
        <w:br/>
      </w:r>
      <w:r>
        <w:rPr>
          <w:rFonts w:ascii="Consolas" w:hAnsi="Consolas"/>
          <w:color w:val="1A1A1A"/>
          <w:sz w:val="19"/>
        </w:rPr>
        <w:t xml:space="preserve">  url: "https://exemple.org/rss.xml"</w:t>
      </w:r>
      <w:r>
        <w:br/>
      </w:r>
      <w:r>
        <w:rPr>
          <w:rFonts w:ascii="Consolas" w:hAnsi="Consolas"/>
          <w:color w:val="1A1A1A"/>
          <w:sz w:val="19"/>
        </w:rPr>
        <w:t xml:space="preserve">  country: "France"</w:t>
      </w:r>
      <w:r>
        <w:br/>
      </w:r>
      <w:r>
        <w:rPr>
          <w:rFonts w:ascii="Consolas" w:hAnsi="Consolas"/>
          <w:color w:val="1A1A1A"/>
          <w:sz w:val="19"/>
        </w:rPr>
        <w:t xml:space="preserve">  category: "agence_reglementaire"   # ou industriel / association</w:t>
      </w:r>
      <w:r>
        <w:br/>
      </w:r>
      <w:r>
        <w:rPr>
          <w:rFonts w:ascii="Consolas" w:hAnsi="Consolas"/>
          <w:color w:val="1A1A1A"/>
          <w:sz w:val="19"/>
        </w:rPr>
        <w:t xml:space="preserve">  axis_hint: null                     # ou "Biologique" / "Mécanique" / "Immunothérapie"</w:t>
      </w:r>
      <w:r>
        <w:br/>
      </w:r>
      <w:r>
        <w:rPr>
          <w:rFonts w:ascii="Consolas" w:hAnsi="Consolas"/>
          <w:color w:val="1A1A1A"/>
          <w:sz w:val="19"/>
        </w:rPr>
        <w:t xml:space="preserve">  enabled: true                       # false pour désactiver sans supprimer</w:t>
      </w:r>
    </w:p>
    <w:p>
      <w:pPr>
        <w:ind w:left="227"/>
        <w:shd w:fill="EAF1F8"/>
      </w:pPr>
      <w:r>
        <w:rPr>
          <w:b/>
          <w:color w:val="1F4E79"/>
        </w:rPr>
        <w:t xml:space="preserve">Remarque : </w:t>
      </w:r>
      <w:r>
        <w:t>Passez enabled à false plutôt que de supprimer un flux : cela garde la trace de pourquoi il a été désactivé (voir les commentaires déjà présents pour Medtronic et la Fédération Française des Diabétiques, qui n'ont pas de flux RSS public).</w:t>
      </w:r>
    </w:p>
    <w:p>
      <w:pPr>
        <w:pStyle w:val="Heading3"/>
      </w:pPr>
      <w:r>
        <w:t>4.5.2 Ajuster les mots-clés de classification</w:t>
      </w:r>
    </w:p>
    <w:p>
      <w:r>
        <w:t>Sections axis_keywords, maturity_keywords et risk_keywords de config.yaml. Ajoutez un mot-clé si une entrée est mal classée (mauvais axe, mauvaise maturité, ou phrase de risque placée à tort dans « Bénéfices »).</w:t>
      </w:r>
    </w:p>
    <w:p>
      <w:pPr>
        <w:pStyle w:val="Heading3"/>
      </w:pPr>
      <w:r>
        <w:t>4.5.3 Changer la fenêtre temporelle ou la limite d'entrées</w:t>
      </w:r>
    </w:p>
    <w:p>
      <w:pPr>
        <w:spacing w:before="40" w:after="200"/>
        <w:ind w:left="283"/>
        <w:shd w:fill="F2F2F2"/>
      </w:pPr>
      <w:r>
        <w:rPr>
          <w:rFonts w:ascii="Consolas" w:hAnsi="Consolas"/>
          <w:color w:val="1A1A1A"/>
          <w:sz w:val="19"/>
        </w:rPr>
        <w:t>window_days: 15              # nombre de jours couverts par défaut</w:t>
      </w:r>
      <w:r>
        <w:br/>
      </w:r>
      <w:r>
        <w:rPr>
          <w:rFonts w:ascii="Consolas" w:hAnsi="Consolas"/>
          <w:color w:val="1A1A1A"/>
          <w:sz w:val="19"/>
        </w:rPr>
        <w:t>max_entries_per_run: 25      # nombre maximum d'entrées ajoutées par exécution</w:t>
      </w:r>
    </w:p>
    <w:p>
      <w:pPr>
        <w:pStyle w:val="Heading2"/>
      </w:pPr>
      <w:r>
        <w:t>4.6 Gérer la tâche planifiée Windows</w:t>
      </w:r>
    </w:p>
    <w:tbl>
      <w:tblPr>
        <w:tblStyle w:val="LightGrid-Accent1"/>
        <w:tblW w:type="auto" w:w="0"/>
        <w:jc w:val="center"/>
        <w:tblLook w:firstColumn="1" w:firstRow="1" w:lastColumn="0" w:lastRow="0" w:noHBand="0" w:noVBand="1" w:val="04A0"/>
      </w:tblPr>
      <w:tblGrid>
        <w:gridCol w:w="4320"/>
        <w:gridCol w:w="4320"/>
      </w:tblGrid>
      <w:tr>
        <w:tc>
          <w:tcPr>
            <w:tcW w:type="dxa" w:w="4320"/>
          </w:tcPr>
          <w:p>
            <w:r/>
            <w:r>
              <w:rPr>
                <w:b/>
                <w:sz w:val="21"/>
              </w:rPr>
              <w:t>Action</w:t>
            </w:r>
          </w:p>
        </w:tc>
        <w:tc>
          <w:tcPr>
            <w:tcW w:type="dxa" w:w="4320"/>
          </w:tcPr>
          <w:p>
            <w:r/>
            <w:r>
              <w:rPr>
                <w:b/>
                <w:sz w:val="21"/>
              </w:rPr>
              <w:t>Commande PowerShell</w:t>
            </w:r>
          </w:p>
        </w:tc>
      </w:tr>
      <w:tr>
        <w:tc>
          <w:tcPr>
            <w:tcW w:type="dxa" w:w="4320"/>
          </w:tcPr>
          <w:p>
            <w:r/>
            <w:r>
              <w:rPr>
                <w:sz w:val="20"/>
              </w:rPr>
              <w:t>Créer/remplacer la tâche</w:t>
            </w:r>
          </w:p>
        </w:tc>
        <w:tc>
          <w:tcPr>
            <w:tcW w:type="dxa" w:w="4320"/>
          </w:tcPr>
          <w:p>
            <w:r/>
            <w:r>
              <w:rPr>
                <w:sz w:val="20"/>
              </w:rPr>
              <w:t>.\register_task.ps1</w:t>
            </w:r>
          </w:p>
        </w:tc>
      </w:tr>
      <w:tr>
        <w:tc>
          <w:tcPr>
            <w:tcW w:type="dxa" w:w="4320"/>
          </w:tcPr>
          <w:p>
            <w:r/>
            <w:r>
              <w:rPr>
                <w:sz w:val="20"/>
              </w:rPr>
              <w:t>Vérifier son état</w:t>
            </w:r>
          </w:p>
        </w:tc>
        <w:tc>
          <w:tcPr>
            <w:tcW w:type="dxa" w:w="4320"/>
          </w:tcPr>
          <w:p>
            <w:r/>
            <w:r>
              <w:rPr>
                <w:sz w:val="20"/>
              </w:rPr>
              <w:t>Get-ScheduledTask -TaskName VeilleDT1 | Get-ScheduledTaskInfo</w:t>
            </w:r>
          </w:p>
        </w:tc>
      </w:tr>
      <w:tr>
        <w:tc>
          <w:tcPr>
            <w:tcW w:type="dxa" w:w="4320"/>
          </w:tcPr>
          <w:p>
            <w:r/>
            <w:r>
              <w:rPr>
                <w:sz w:val="20"/>
              </w:rPr>
              <w:t>Supprimer la tâche</w:t>
            </w:r>
          </w:p>
        </w:tc>
        <w:tc>
          <w:tcPr>
            <w:tcW w:type="dxa" w:w="4320"/>
          </w:tcPr>
          <w:p>
            <w:r/>
            <w:r>
              <w:rPr>
                <w:sz w:val="20"/>
              </w:rPr>
              <w:t>Unregister-ScheduledTask -TaskName VeilleDT1 -Confirm:$false</w:t>
            </w:r>
          </w:p>
        </w:tc>
      </w:tr>
    </w:tbl>
    <w:p/>
    <w:p>
      <w:r>
        <w:br w:type="page"/>
      </w:r>
    </w:p>
    <w:p>
      <w:pPr>
        <w:pStyle w:val="Heading1"/>
      </w:pPr>
      <w:r>
        <w:t>5. Débogage et dépannage</w:t>
      </w:r>
    </w:p>
    <w:p>
      <w:pPr>
        <w:pStyle w:val="Heading2"/>
      </w:pPr>
      <w:r>
        <w:t>5.1 Trois niveaux d'information, du plus rapide au plus détaillé</w:t>
      </w:r>
    </w:p>
    <w:p>
      <w:pPr>
        <w:pStyle w:val="Heading3"/>
      </w:pPr>
      <w:r>
        <w:t>5.1.1 logs\last_run_summary.json — le coup d'œil rapide</w:t>
      </w:r>
    </w:p>
    <w:p>
      <w:r>
        <w:t>Résumé structuré de la toute dernière exécution (dry-run compris, toujours réécrit) : fenêtre de dates, nombre d'éléments trouvés/filtrés par source, fiches mises à jour, nouvelles entrées, nombre d'avertissements, et l'erreur exacte en cas d'échec (champ error). C'est ce fichier que lit run_veille.ps1 pour construire la notification, et le premier réflexe pour comprendre un résultat sans tout relire.</w:t>
      </w:r>
    </w:p>
    <w:p>
      <w:pPr>
        <w:spacing w:before="40" w:after="200"/>
        <w:ind w:left="283"/>
        <w:shd w:fill="F2F2F2"/>
      </w:pPr>
      <w:r>
        <w:rPr>
          <w:rFonts w:ascii="Consolas" w:hAnsi="Consolas"/>
          <w:color w:val="1A1A1A"/>
          <w:sz w:val="19"/>
        </w:rPr>
        <w:t>{</w:t>
      </w:r>
      <w:r>
        <w:br/>
      </w:r>
      <w:r>
        <w:rPr>
          <w:rFonts w:ascii="Consolas" w:hAnsi="Consolas"/>
          <w:color w:val="1A1A1A"/>
          <w:sz w:val="19"/>
        </w:rPr>
        <w:t xml:space="preserve">  "generated_at": "2026-09-18T12:00:00+00:00",</w:t>
      </w:r>
      <w:r>
        <w:br/>
      </w:r>
      <w:r>
        <w:rPr>
          <w:rFonts w:ascii="Consolas" w:hAnsi="Consolas"/>
          <w:color w:val="1A1A1A"/>
          <w:sz w:val="19"/>
        </w:rPr>
        <w:t xml:space="preserve">  "dry_run": false,</w:t>
      </w:r>
      <w:r>
        <w:br/>
      </w:r>
      <w:r>
        <w:rPr>
          <w:rFonts w:ascii="Consolas" w:hAnsi="Consolas"/>
          <w:color w:val="1A1A1A"/>
          <w:sz w:val="19"/>
        </w:rPr>
        <w:t xml:space="preserve">  "window_start": "2026-09-01", "window_end": "2026-09-18",</w:t>
      </w:r>
      <w:r>
        <w:br/>
      </w:r>
      <w:r>
        <w:rPr>
          <w:rFonts w:ascii="Consolas" w:hAnsi="Consolas"/>
          <w:color w:val="1A1A1A"/>
          <w:sz w:val="19"/>
        </w:rPr>
        <w:t xml:space="preserve">  "sources": {</w:t>
      </w:r>
      <w:r>
        <w:br/>
      </w:r>
      <w:r>
        <w:rPr>
          <w:rFonts w:ascii="Consolas" w:hAnsi="Consolas"/>
          <w:color w:val="1A1A1A"/>
          <w:sz w:val="19"/>
        </w:rPr>
        <w:t xml:space="preserve">    "pubmed": {"found": 37, "filtered_out": 0, "error": null},</w:t>
      </w:r>
      <w:r>
        <w:br/>
      </w:r>
      <w:r>
        <w:rPr>
          <w:rFonts w:ascii="Consolas" w:hAnsi="Consolas"/>
          <w:color w:val="1A1A1A"/>
          <w:sz w:val="19"/>
        </w:rPr>
        <w:t xml:space="preserve">    "clinicaltrials": {"found": 39, "filtered_out": 33, "error": null},</w:t>
      </w:r>
      <w:r>
        <w:br/>
      </w:r>
      <w:r>
        <w:rPr>
          <w:rFonts w:ascii="Consolas" w:hAnsi="Consolas"/>
          <w:color w:val="1A1A1A"/>
          <w:sz w:val="19"/>
        </w:rPr>
        <w:t xml:space="preserve">    "rss": {"found": 4, "filtered_out": 13, "error": null}</w:t>
      </w:r>
      <w:r>
        <w:br/>
      </w:r>
      <w:r>
        <w:rPr>
          <w:rFonts w:ascii="Consolas" w:hAnsi="Consolas"/>
          <w:color w:val="1A1A1A"/>
          <w:sz w:val="19"/>
        </w:rPr>
        <w:t xml:space="preserve">  },</w:t>
      </w:r>
      <w:r>
        <w:br/>
      </w:r>
      <w:r>
        <w:rPr>
          <w:rFonts w:ascii="Consolas" w:hAnsi="Consolas"/>
          <w:color w:val="1A1A1A"/>
          <w:sz w:val="19"/>
        </w:rPr>
        <w:t xml:space="preserve">  "found_total": 80, "after_dedup": 8,</w:t>
      </w:r>
      <w:r>
        <w:br/>
      </w:r>
      <w:r>
        <w:rPr>
          <w:rFonts w:ascii="Consolas" w:hAnsi="Consolas"/>
          <w:color w:val="1A1A1A"/>
          <w:sz w:val="19"/>
        </w:rPr>
        <w:t xml:space="preserve">  "fiches_updated": [ {"title": "...", "new_maturity": null, ...} ],</w:t>
      </w:r>
      <w:r>
        <w:br/>
      </w:r>
      <w:r>
        <w:rPr>
          <w:rFonts w:ascii="Consolas" w:hAnsi="Consolas"/>
          <w:color w:val="1A1A1A"/>
          <w:sz w:val="19"/>
        </w:rPr>
        <w:t xml:space="preserve">  "new_entries": [ {"date": "18/09/2026", "title": "...", "axis": "...", ...} ],</w:t>
      </w:r>
      <w:r>
        <w:br/>
      </w:r>
      <w:r>
        <w:rPr>
          <w:rFonts w:ascii="Consolas" w:hAnsi="Consolas"/>
          <w:color w:val="1A1A1A"/>
          <w:sz w:val="19"/>
        </w:rPr>
        <w:t xml:space="preserve">  "warnings_count": 2, "warnings": ["..."],</w:t>
      </w:r>
      <w:r>
        <w:br/>
      </w:r>
      <w:r>
        <w:rPr>
          <w:rFonts w:ascii="Consolas" w:hAnsi="Consolas"/>
          <w:color w:val="1A1A1A"/>
          <w:sz w:val="19"/>
        </w:rPr>
        <w:t xml:space="preserve">  "error": null</w:t>
      </w:r>
      <w:r>
        <w:br/>
      </w:r>
      <w:r>
        <w:rPr>
          <w:rFonts w:ascii="Consolas" w:hAnsi="Consolas"/>
          <w:color w:val="1A1A1A"/>
          <w:sz w:val="19"/>
        </w:rPr>
        <w:t>}</w:t>
      </w:r>
    </w:p>
    <w:p>
      <w:pPr>
        <w:pStyle w:val="Heading3"/>
      </w:pPr>
      <w:r>
        <w:t>5.1.2 logs\veille.log — le journal complet</w:t>
      </w:r>
    </w:p>
    <w:p>
      <w:r>
        <w:t>Journal texte de chaque exécution, niveau INFO par défaut, avec rotation automatique (2 Mo par fichier, 10 fichiers conservés — plusieurs mois d'historique à raison d'une exécution par semaine, sans jamais grossir indéfiniment).</w:t>
      </w:r>
    </w:p>
    <w:p>
      <w:pPr>
        <w:pStyle w:val="Heading3"/>
      </w:pPr>
      <w:r>
        <w:t>5.1.3 --debug — le détail décision par décision</w:t>
      </w:r>
    </w:p>
    <w:p>
      <w:r>
        <w:t>À ajouter à n'importe quelle commande pour obtenir, en plus, le détail de chaque correspondance fiche/nouveauté tentée (quelle fiche a matché, ou pourquoi aucune) — utile pour comprendre pourquoi un élément précis a été traité d'une façon donnée :</w:t>
      </w:r>
    </w:p>
    <w:p>
      <w:pPr>
        <w:spacing w:before="40" w:after="200"/>
        <w:ind w:left="283"/>
        <w:shd w:fill="F2F2F2"/>
      </w:pPr>
      <w:r>
        <w:rPr>
          <w:rFonts w:ascii="Consolas" w:hAnsi="Consolas"/>
          <w:color w:val="1A1A1A"/>
          <w:sz w:val="19"/>
        </w:rPr>
        <w:t>.\.venv\Scripts\python.exe main.py --dry-run --debug --limit 5</w:t>
      </w:r>
    </w:p>
    <w:p>
      <w:pPr>
        <w:pStyle w:val="Heading2"/>
      </w:pPr>
      <w:r>
        <w:t>5.2 Problèmes courants et solutions</w:t>
      </w:r>
    </w:p>
    <w:tbl>
      <w:tblPr>
        <w:tblStyle w:val="LightGrid-Accent1"/>
        <w:tblW w:type="auto" w:w="0"/>
        <w:jc w:val="center"/>
        <w:tblLook w:firstColumn="1" w:firstRow="1" w:lastColumn="0" w:lastRow="0" w:noHBand="0" w:noVBand="1" w:val="04A0"/>
      </w:tblPr>
      <w:tblGrid>
        <w:gridCol w:w="2880"/>
        <w:gridCol w:w="2880"/>
        <w:gridCol w:w="2880"/>
      </w:tblGrid>
      <w:tr>
        <w:tc>
          <w:tcPr>
            <w:tcW w:type="dxa" w:w="2880"/>
          </w:tcPr>
          <w:p>
            <w:r/>
            <w:r>
              <w:rPr>
                <w:b/>
                <w:sz w:val="21"/>
              </w:rPr>
              <w:t>Symptôme</w:t>
            </w:r>
          </w:p>
        </w:tc>
        <w:tc>
          <w:tcPr>
            <w:tcW w:type="dxa" w:w="2880"/>
          </w:tcPr>
          <w:p>
            <w:r/>
            <w:r>
              <w:rPr>
                <w:b/>
                <w:sz w:val="21"/>
              </w:rPr>
              <w:t>Cause probable</w:t>
            </w:r>
          </w:p>
        </w:tc>
        <w:tc>
          <w:tcPr>
            <w:tcW w:type="dxa" w:w="2880"/>
          </w:tcPr>
          <w:p>
            <w:r/>
            <w:r>
              <w:rPr>
                <w:b/>
                <w:sz w:val="21"/>
              </w:rPr>
              <w:t>Solution</w:t>
            </w:r>
          </w:p>
        </w:tc>
      </w:tr>
      <w:tr>
        <w:tc>
          <w:tcPr>
            <w:tcW w:type="dxa" w:w="2880"/>
          </w:tcPr>
          <w:p>
            <w:r/>
            <w:r>
              <w:rPr>
                <w:sz w:val="20"/>
              </w:rPr>
              <w:t>Une entrée affiche « [traduction automatique indisponible] »</w:t>
            </w:r>
          </w:p>
        </w:tc>
        <w:tc>
          <w:tcPr>
            <w:tcW w:type="dxa" w:w="2880"/>
          </w:tcPr>
          <w:p>
            <w:r/>
            <w:r>
              <w:rPr>
                <w:sz w:val="20"/>
              </w:rPr>
              <w:t>Les deux moteurs de traduction gratuits (Google/MyMemory) ont atteint leur quota au même moment (ex. beaucoup de tests lancés à la suite).</w:t>
            </w:r>
          </w:p>
        </w:tc>
        <w:tc>
          <w:tcPr>
            <w:tcW w:type="dxa" w:w="2880"/>
          </w:tcPr>
          <w:p>
            <w:r/>
            <w:r>
              <w:rPr>
                <w:sz w:val="20"/>
              </w:rPr>
              <w:t>Sans gravité : relancer plus tard, ou accepter le texte source non traduit (jamais une traduction inventée). Envisager une clé DeepL/Anthropic si récurrent.</w:t>
            </w:r>
          </w:p>
        </w:tc>
      </w:tr>
      <w:tr>
        <w:tc>
          <w:tcPr>
            <w:tcW w:type="dxa" w:w="2880"/>
          </w:tcPr>
          <w:p>
            <w:r/>
            <w:r>
              <w:rPr>
                <w:sz w:val="20"/>
              </w:rPr>
              <w:t>Un flux RSS affiche « impossible de lire le flux »</w:t>
            </w:r>
          </w:p>
        </w:tc>
        <w:tc>
          <w:tcPr>
            <w:tcW w:type="dxa" w:w="2880"/>
          </w:tcPr>
          <w:p>
            <w:r/>
            <w:r>
              <w:rPr>
                <w:sz w:val="20"/>
              </w:rPr>
              <w:t>URL du flux changée, site en maintenance, ou blocage anti-robot temporaire.</w:t>
            </w:r>
          </w:p>
        </w:tc>
        <w:tc>
          <w:tcPr>
            <w:tcW w:type="dxa" w:w="2880"/>
          </w:tcPr>
          <w:p>
            <w:r/>
            <w:r>
              <w:rPr>
                <w:sz w:val="20"/>
              </w:rPr>
              <w:t>Sans gravité immédiate : les autres sources continuent de fonctionner. Si persistant plusieurs semaines, vérifier/corriger l'URL dans config.yaml.</w:t>
            </w:r>
          </w:p>
        </w:tc>
      </w:tr>
      <w:tr>
        <w:tc>
          <w:tcPr>
            <w:tcW w:type="dxa" w:w="2880"/>
          </w:tcPr>
          <w:p>
            <w:r/>
            <w:r>
              <w:rPr>
                <w:sz w:val="20"/>
              </w:rPr>
              <w:t>Une actualité sans rapport avec le DT1 apparaît</w:t>
            </w:r>
          </w:p>
        </w:tc>
        <w:tc>
          <w:tcPr>
            <w:tcW w:type="dxa" w:w="2880"/>
          </w:tcPr>
          <w:p>
            <w:r/>
            <w:r>
              <w:rPr>
                <w:sz w:val="20"/>
              </w:rPr>
              <w:t>Un mot-clé trop générique dans axis_keywords, ou un flux RSS très large.</w:t>
            </w:r>
          </w:p>
        </w:tc>
        <w:tc>
          <w:tcPr>
            <w:tcW w:type="dxa" w:w="2880"/>
          </w:tcPr>
          <w:p>
            <w:r/>
            <w:r>
              <w:rPr>
                <w:sz w:val="20"/>
              </w:rPr>
              <w:t>Ajouter le terme manquant dans le filtre, ou resserrer les mots-clés concernés dans config.yaml.</w:t>
            </w:r>
          </w:p>
        </w:tc>
      </w:tr>
      <w:tr>
        <w:tc>
          <w:tcPr>
            <w:tcW w:type="dxa" w:w="2880"/>
          </w:tcPr>
          <w:p>
            <w:r/>
            <w:r>
              <w:rPr>
                <w:sz w:val="20"/>
              </w:rPr>
              <w:t>Une nouveauté qui aurait dû mettre à jour une fiche crée une nouvelle entrée à la place</w:t>
            </w:r>
          </w:p>
        </w:tc>
        <w:tc>
          <w:tcPr>
            <w:tcW w:type="dxa" w:w="2880"/>
          </w:tcPr>
          <w:p>
            <w:r/>
            <w:r>
              <w:rPr>
                <w:sz w:val="20"/>
              </w:rPr>
              <w:t>Le titre de la nouveauté ne contient aucun identifiant exact de la fiche (le système ne devine jamais sur le sens).</w:t>
            </w:r>
          </w:p>
        </w:tc>
        <w:tc>
          <w:tcPr>
            <w:tcW w:type="dxa" w:w="2880"/>
          </w:tcPr>
          <w:p>
            <w:r/>
            <w:r>
              <w:rPr>
                <w:sz w:val="20"/>
              </w:rPr>
              <w:t>Vérifier le journal pour un message « Correspondance ambiguë ». Si besoin, enrichir le titre de la fiche existante avec un alias entre parenthèses.</w:t>
            </w:r>
          </w:p>
        </w:tc>
      </w:tr>
      <w:tr>
        <w:tc>
          <w:tcPr>
            <w:tcW w:type="dxa" w:w="2880"/>
          </w:tcPr>
          <w:p>
            <w:r/>
            <w:r>
              <w:rPr>
                <w:sz w:val="20"/>
              </w:rPr>
              <w:t>Le script s'arrête avec une erreur PubMed ou ClinicalTrials.gov</w:t>
            </w:r>
          </w:p>
        </w:tc>
        <w:tc>
          <w:tcPr>
            <w:tcW w:type="dxa" w:w="2880"/>
          </w:tcPr>
          <w:p>
            <w:r/>
            <w:r>
              <w:rPr>
                <w:sz w:val="20"/>
              </w:rPr>
              <w:t>Panne temporaire de l'API, ou dépassement de quota (rare sans clé NCBI).</w:t>
            </w:r>
          </w:p>
        </w:tc>
        <w:tc>
          <w:tcPr>
            <w:tcW w:type="dxa" w:w="2880"/>
          </w:tcPr>
          <w:p>
            <w:r/>
            <w:r>
              <w:rPr>
                <w:sz w:val="20"/>
              </w:rPr>
              <w:t>Relancer plus tard. Une seule source en échec n'empêche pas les deux autres de fonctionner.</w:t>
            </w:r>
          </w:p>
        </w:tc>
      </w:tr>
      <w:tr>
        <w:tc>
          <w:tcPr>
            <w:tcW w:type="dxa" w:w="2880"/>
          </w:tcPr>
          <w:p>
            <w:r/>
            <w:r>
              <w:rPr>
                <w:sz w:val="20"/>
              </w:rPr>
              <w:t>Aucun email reçu alors qu'il y avait des nouveautés</w:t>
            </w:r>
          </w:p>
        </w:tc>
        <w:tc>
          <w:tcPr>
            <w:tcW w:type="dxa" w:w="2880"/>
          </w:tcPr>
          <w:p>
            <w:r/>
            <w:r>
              <w:rPr>
                <w:sz w:val="20"/>
              </w:rPr>
              <w:t>email_credentials.yaml manquant/incorrect, ou quota Gmail atteint.</w:t>
            </w:r>
          </w:p>
        </w:tc>
        <w:tc>
          <w:tcPr>
            <w:tcW w:type="dxa" w:w="2880"/>
          </w:tcPr>
          <w:p>
            <w:r/>
            <w:r>
              <w:rPr>
                <w:sz w:val="20"/>
              </w:rPr>
              <w:t>Vérifier logs\veille.log (avertissement explicite si l'envoi a échoué). Tester avec : main.py --dry-run --test-email --limit 1.</w:t>
            </w:r>
          </w:p>
        </w:tc>
      </w:tr>
      <w:tr>
        <w:tc>
          <w:tcPr>
            <w:tcW w:type="dxa" w:w="2880"/>
          </w:tcPr>
          <w:p>
            <w:r/>
            <w:r>
              <w:rPr>
                <w:sz w:val="20"/>
              </w:rPr>
              <w:t>Erreur SMTP 535 « Username and Password not accepted »</w:t>
            </w:r>
          </w:p>
        </w:tc>
        <w:tc>
          <w:tcPr>
            <w:tcW w:type="dxa" w:w="2880"/>
          </w:tcPr>
          <w:p>
            <w:r/>
            <w:r>
              <w:rPr>
                <w:sz w:val="20"/>
              </w:rPr>
              <w:t>Cas réellement rencontré : le mot de passe d'application collé avec les espaces que Google affiche pour la lisibilité (ex. "gkxt cjsx taqk wrmi").</w:t>
            </w:r>
          </w:p>
        </w:tc>
        <w:tc>
          <w:tcPr>
            <w:tcW w:type="dxa" w:w="2880"/>
          </w:tcPr>
          <w:p>
            <w:r/>
            <w:r>
              <w:rPr>
                <w:sz w:val="20"/>
              </w:rPr>
              <w:t>Déjà corrigé dans le script (les espaces sont retirés automatiquement à la lecture) ; si l'erreur persiste, régénérer un nouveau mot de passe d'application et vérifier qu'il correspond bien au compte from_addr.</w:t>
            </w:r>
          </w:p>
        </w:tc>
      </w:tr>
      <w:tr>
        <w:tc>
          <w:tcPr>
            <w:tcW w:type="dxa" w:w="2880"/>
          </w:tcPr>
          <w:p>
            <w:r/>
            <w:r>
              <w:rPr>
                <w:sz w:val="20"/>
              </w:rPr>
              <w:t>La notification Windows ne s'affiche jamais</w:t>
            </w:r>
          </w:p>
        </w:tc>
        <w:tc>
          <w:tcPr>
            <w:tcW w:type="dxa" w:w="2880"/>
          </w:tcPr>
          <w:p>
            <w:r/>
            <w:r>
              <w:rPr>
                <w:sz w:val="20"/>
              </w:rPr>
              <w:t>Aucune session Windows n'était ouverte au moment de l'exécution planifiée (comportement voulu, pas une panne).</w:t>
            </w:r>
          </w:p>
        </w:tc>
        <w:tc>
          <w:tcPr>
            <w:tcW w:type="dxa" w:w="2880"/>
          </w:tcPr>
          <w:p>
            <w:r/>
            <w:r>
              <w:rPr>
                <w:sz w:val="20"/>
              </w:rPr>
              <w:t>Consulter logs\veille.log et logs\last_run_summary.json, qui existent toujours même sans notification visible.</w:t>
            </w:r>
          </w:p>
        </w:tc>
      </w:tr>
      <w:tr>
        <w:tc>
          <w:tcPr>
            <w:tcW w:type="dxa" w:w="2880"/>
          </w:tcPr>
          <w:p>
            <w:r/>
            <w:r>
              <w:rPr>
                <w:sz w:val="20"/>
              </w:rPr>
              <w:t>Le fichier .md semble ne plus avoir la bonne structure</w:t>
            </w:r>
          </w:p>
        </w:tc>
        <w:tc>
          <w:tcPr>
            <w:tcW w:type="dxa" w:w="2880"/>
          </w:tcPr>
          <w:p>
            <w:r/>
            <w:r>
              <w:rPr>
                <w:sz w:val="20"/>
              </w:rPr>
              <w:t>Une section a été renommée ou déplacée manuellement dans le document.</w:t>
            </w:r>
          </w:p>
        </w:tc>
        <w:tc>
          <w:tcPr>
            <w:tcW w:type="dxa" w:w="2880"/>
          </w:tcPr>
          <w:p>
            <w:r/>
            <w:r>
              <w:rPr>
                <w:sz w:val="20"/>
              </w:rPr>
              <w:t>Le script refuse alors l'insertion et lève une erreur explicite plutôt que d'écrire n'importe où. Restaurer les titres de section exacts (## 5. Nouveautés et fil d'actualité, etc.).</w:t>
            </w:r>
          </w:p>
        </w:tc>
      </w:tr>
    </w:tbl>
    <w:p/>
    <w:p>
      <w:pPr>
        <w:pStyle w:val="Heading2"/>
      </w:pPr>
      <w:r>
        <w:t>5.3 Rejouer une semaine pour comprendre un cas précis</w:t>
      </w:r>
    </w:p>
    <w:p>
      <w:pPr>
        <w:spacing w:before="40" w:after="200"/>
        <w:ind w:left="283"/>
        <w:shd w:fill="F2F2F2"/>
      </w:pPr>
      <w:r>
        <w:rPr>
          <w:rFonts w:ascii="Consolas" w:hAnsi="Consolas"/>
          <w:color w:val="1A1A1A"/>
          <w:sz w:val="19"/>
        </w:rPr>
        <w:t>.\.venv\Scripts\python.exe main.py --dry-run --ignore-dedup --window-start 2026-09-01 --window-end 2026-09-18 --limit 5</w:t>
      </w:r>
    </w:p>
    <w:p>
      <w:r>
        <w:t>--limit 5 permet de ne regarder que quelques éléments à la fois, pour lire le diff plus facilement pendant un débogage.</w:t>
      </w:r>
    </w:p>
    <w:p>
      <w:pPr>
        <w:pStyle w:val="Heading2"/>
      </w:pPr>
      <w:r>
        <w:t>5.4 Réinitialiser la mémoire de déduplication</w:t>
      </w:r>
    </w:p>
    <w:p>
      <w:r>
        <w:t>En dernier recours, si dedup_store.json semble corrompu ou trop restrictif, il peut être réinitialisé (tout sera retraité au prochain lancement) :</w:t>
      </w:r>
    </w:p>
    <w:p>
      <w:pPr>
        <w:spacing w:before="40" w:after="200"/>
        <w:ind w:left="283"/>
        <w:shd w:fill="F2F2F2"/>
      </w:pPr>
      <w:r>
        <w:rPr>
          <w:rFonts w:ascii="Consolas" w:hAnsi="Consolas"/>
          <w:color w:val="1A1A1A"/>
          <w:sz w:val="19"/>
        </w:rPr>
        <w:t>{</w:t>
      </w:r>
      <w:r>
        <w:br/>
      </w:r>
      <w:r>
        <w:rPr>
          <w:rFonts w:ascii="Consolas" w:hAnsi="Consolas"/>
          <w:color w:val="1A1A1A"/>
          <w:sz w:val="19"/>
        </w:rPr>
        <w:t xml:space="preserve">  "seen": [],</w:t>
      </w:r>
      <w:r>
        <w:br/>
      </w:r>
      <w:r>
        <w:rPr>
          <w:rFonts w:ascii="Consolas" w:hAnsi="Consolas"/>
          <w:color w:val="1A1A1A"/>
          <w:sz w:val="19"/>
        </w:rPr>
        <w:t xml:space="preserve">  "last_run": null,</w:t>
      </w:r>
      <w:r>
        <w:br/>
      </w:r>
      <w:r>
        <w:rPr>
          <w:rFonts w:ascii="Consolas" w:hAnsi="Consolas"/>
          <w:color w:val="1A1A1A"/>
          <w:sz w:val="19"/>
        </w:rPr>
        <w:t xml:space="preserve">  "known_fiches": []</w:t>
      </w:r>
      <w:r>
        <w:br/>
      </w:r>
      <w:r>
        <w:rPr>
          <w:rFonts w:ascii="Consolas" w:hAnsi="Consolas"/>
          <w:color w:val="1A1A1A"/>
          <w:sz w:val="19"/>
        </w:rPr>
        <w:t>}</w:t>
      </w:r>
    </w:p>
    <w:p>
      <w:pPr>
        <w:ind w:left="227"/>
        <w:shd w:fill="EAF1F8"/>
      </w:pPr>
      <w:r>
        <w:rPr>
          <w:b/>
          <w:color w:val="1F4E79"/>
        </w:rPr>
        <w:t xml:space="preserve">Attention : </w:t>
      </w:r>
      <w:r>
        <w:t>À faire uniquement si nécessaire : réinitialiser fera réapparaître dans le diff toutes les actualités déjà publiées depuis toujours dans la fenêtre courante.</w:t>
      </w:r>
    </w:p>
    <w:p>
      <w:pPr>
        <w:pStyle w:val="Heading2"/>
      </w:pPr>
      <w:r>
        <w:t>5.5 Vérifier manuellement le parsing des fiches</w:t>
      </w:r>
    </w:p>
    <w:p>
      <w:r>
        <w:t>Pour inspecter comment le script a compris la structure actuelle du document (utile si une mise à jour de fiche semble avoir échoué) :</w:t>
      </w:r>
    </w:p>
    <w:p>
      <w:pPr>
        <w:spacing w:before="40" w:after="200"/>
        <w:ind w:left="283"/>
        <w:shd w:fill="F2F2F2"/>
      </w:pPr>
      <w:r>
        <w:rPr>
          <w:rFonts w:ascii="Consolas" w:hAnsi="Consolas"/>
          <w:color w:val="1A1A1A"/>
          <w:sz w:val="19"/>
        </w:rPr>
        <w:t>cd "D:\Prog_Python\Veille_Diabete_Type_1"</w:t>
      </w:r>
      <w:r>
        <w:br/>
      </w:r>
      <w:r>
        <w:rPr>
          <w:rFonts w:ascii="Consolas" w:hAnsi="Consolas"/>
          <w:color w:val="1A1A1A"/>
          <w:sz w:val="19"/>
        </w:rPr>
        <w:t>.\.venv\Scripts\python.exe -c "import main; fiches = main.parse_fiches(open('diabete-type1-veille.md', encoding='utf-8').read()); [print(f.title_raw, f.identifiers) for f in fiches]"</w:t>
      </w:r>
    </w:p>
    <w:p>
      <w:r>
        <w:br w:type="page"/>
      </w:r>
    </w:p>
    <w:p>
      <w:pPr>
        <w:pStyle w:val="Heading1"/>
      </w:pPr>
      <w:r>
        <w:t>6. Limites connues</w:t>
      </w:r>
    </w:p>
    <w:p>
      <w:pPr>
        <w:pStyle w:val="ListBullet"/>
      </w:pPr>
      <w:r>
        <w:t>Pas de recherche web générale automatisée : aucune clé d'API de recherche n'ayant été fournie, seules PubMed, ClinicalTrials.gov et les flux RSS sont utilisés.</w:t>
      </w:r>
    </w:p>
    <w:p>
      <w:pPr>
        <w:pStyle w:val="ListBullet"/>
      </w:pPr>
      <w:r>
        <w:t>La traduction gratuite sans clé API peut, rarement, mal traduire un nom propre ou une marque (ex. le nom d'une organisation traduit littéralement).</w:t>
      </w:r>
    </w:p>
    <w:p>
      <w:pPr>
        <w:pStyle w:val="ListBullet"/>
      </w:pPr>
      <w:r>
        <w:t>Le pays d'origine n'est fiable qu'avec ClinicalTrials.gov (lieux réels des centres) ; ailleurs, c'est une approximation clairement indiquée comme telle.</w:t>
      </w:r>
    </w:p>
    <w:p>
      <w:pPr>
        <w:pStyle w:val="ListBullet"/>
      </w:pPr>
      <w:r>
        <w:t>Deux flux RSS (Dexcom, Insulet) n'ont pas pu être vérifiés au moment de la mise en place (blocage anti-robot ou URL incorrecte) et restent désactivés dans config.yaml.</w:t>
      </w:r>
    </w:p>
    <w:p>
      <w:pPr>
        <w:pStyle w:val="ListBullet"/>
      </w:pPr>
      <w:r>
        <w:t>La correspondance fiche/nouveauté repose sur des identifiants exacts : une technologie mentionnée sous un nom vraiment inédit (jamais vu dans le titre existant) créera une nouvelle entrée plutôt qu'une mise à jour, par choix de conception (mieux vaut une entrée en trop qu'une fiche modifiée à tort).</w:t>
      </w:r>
    </w:p>
    <w:p>
      <w:r>
        <w:br w:type="page"/>
      </w:r>
    </w:p>
    <w:p>
      <w:pPr>
        <w:pStyle w:val="Heading1"/>
      </w:pPr>
      <w:r>
        <w:t>7. Annexe : glossaire</w:t>
      </w:r>
    </w:p>
    <w:tbl>
      <w:tblPr>
        <w:tblStyle w:val="LightGrid-Accent1"/>
        <w:tblW w:type="auto" w:w="0"/>
        <w:jc w:val="center"/>
        <w:tblLook w:firstColumn="1" w:firstRow="1" w:lastColumn="0" w:lastRow="0" w:noHBand="0" w:noVBand="1" w:val="04A0"/>
      </w:tblPr>
      <w:tblGrid>
        <w:gridCol w:w="4320"/>
        <w:gridCol w:w="4320"/>
      </w:tblGrid>
      <w:tr>
        <w:tc>
          <w:tcPr>
            <w:tcW w:type="dxa" w:w="4320"/>
          </w:tcPr>
          <w:p>
            <w:r/>
            <w:r>
              <w:rPr>
                <w:b/>
                <w:sz w:val="21"/>
              </w:rPr>
              <w:t>Terme</w:t>
            </w:r>
          </w:p>
        </w:tc>
        <w:tc>
          <w:tcPr>
            <w:tcW w:type="dxa" w:w="4320"/>
          </w:tcPr>
          <w:p>
            <w:r/>
            <w:r>
              <w:rPr>
                <w:b/>
                <w:sz w:val="21"/>
              </w:rPr>
              <w:t>Signification</w:t>
            </w:r>
          </w:p>
        </w:tc>
      </w:tr>
      <w:tr>
        <w:tc>
          <w:tcPr>
            <w:tcW w:type="dxa" w:w="4320"/>
          </w:tcPr>
          <w:p>
            <w:r/>
            <w:r>
              <w:rPr>
                <w:sz w:val="20"/>
              </w:rPr>
              <w:t>DOI</w:t>
            </w:r>
          </w:p>
        </w:tc>
        <w:tc>
          <w:tcPr>
            <w:tcW w:type="dxa" w:w="4320"/>
          </w:tcPr>
          <w:p>
            <w:r/>
            <w:r>
              <w:rPr>
                <w:sz w:val="20"/>
              </w:rPr>
              <w:t>Identifiant unique et permanent d'une publication scientifique (ex. 10.1056/NEJMoa1902226).</w:t>
            </w:r>
          </w:p>
        </w:tc>
      </w:tr>
      <w:tr>
        <w:tc>
          <w:tcPr>
            <w:tcW w:type="dxa" w:w="4320"/>
          </w:tcPr>
          <w:p>
            <w:r/>
            <w:r>
              <w:rPr>
                <w:sz w:val="20"/>
              </w:rPr>
              <w:t>NCT</w:t>
            </w:r>
          </w:p>
        </w:tc>
        <w:tc>
          <w:tcPr>
            <w:tcW w:type="dxa" w:w="4320"/>
          </w:tcPr>
          <w:p>
            <w:r/>
            <w:r>
              <w:rPr>
                <w:sz w:val="20"/>
              </w:rPr>
              <w:t>Identifiant unique d'un essai clinique dans le registre ClinicalTrials.gov.</w:t>
            </w:r>
          </w:p>
        </w:tc>
      </w:tr>
      <w:tr>
        <w:tc>
          <w:tcPr>
            <w:tcW w:type="dxa" w:w="4320"/>
          </w:tcPr>
          <w:p>
            <w:r/>
            <w:r>
              <w:rPr>
                <w:sz w:val="20"/>
              </w:rPr>
              <w:t>Fiche</w:t>
            </w:r>
          </w:p>
        </w:tc>
        <w:tc>
          <w:tcPr>
            <w:tcW w:type="dxa" w:w="4320"/>
          </w:tcPr>
          <w:p>
            <w:r/>
            <w:r>
              <w:rPr>
                <w:sz w:val="20"/>
              </w:rPr>
              <w:t>Une entrée ### des sections 2 à 4, décrivant une technologie suivie dans la durée.</w:t>
            </w:r>
          </w:p>
        </w:tc>
      </w:tr>
      <w:tr>
        <w:tc>
          <w:tcPr>
            <w:tcW w:type="dxa" w:w="4320"/>
          </w:tcPr>
          <w:p>
            <w:r/>
            <w:r>
              <w:rPr>
                <w:sz w:val="20"/>
              </w:rPr>
              <w:t>Nouveauté</w:t>
            </w:r>
          </w:p>
        </w:tc>
        <w:tc>
          <w:tcPr>
            <w:tcW w:type="dxa" w:w="4320"/>
          </w:tcPr>
          <w:p>
            <w:r/>
            <w:r>
              <w:rPr>
                <w:sz w:val="20"/>
              </w:rPr>
              <w:t>Une entrée #### de la section 5, décrivant un événement ponctuel ou une technologie non encore suivie.</w:t>
            </w:r>
          </w:p>
        </w:tc>
      </w:tr>
      <w:tr>
        <w:tc>
          <w:tcPr>
            <w:tcW w:type="dxa" w:w="4320"/>
          </w:tcPr>
          <w:p>
            <w:r/>
            <w:r>
              <w:rPr>
                <w:sz w:val="20"/>
              </w:rPr>
              <w:t>Dry-run</w:t>
            </w:r>
          </w:p>
        </w:tc>
        <w:tc>
          <w:tcPr>
            <w:tcW w:type="dxa" w:w="4320"/>
          </w:tcPr>
          <w:p>
            <w:r/>
            <w:r>
              <w:rPr>
                <w:sz w:val="20"/>
              </w:rPr>
              <w:t>Mode d'essai qui montre les changements sans jamais écrire de fichier.</w:t>
            </w:r>
          </w:p>
        </w:tc>
      </w:tr>
      <w:tr>
        <w:tc>
          <w:tcPr>
            <w:tcW w:type="dxa" w:w="4320"/>
          </w:tcPr>
          <w:p>
            <w:r/>
            <w:r>
              <w:rPr>
                <w:sz w:val="20"/>
              </w:rPr>
              <w:t>Déduplication</w:t>
            </w:r>
          </w:p>
        </w:tc>
        <w:tc>
          <w:tcPr>
            <w:tcW w:type="dxa" w:w="4320"/>
          </w:tcPr>
          <w:p>
            <w:r/>
            <w:r>
              <w:rPr>
                <w:sz w:val="20"/>
              </w:rPr>
              <w:t>Mécanisme empêchant de republier deux fois la même information.</w:t>
            </w:r>
          </w:p>
        </w:tc>
      </w:tr>
      <w:tr>
        <w:tc>
          <w:tcPr>
            <w:tcW w:type="dxa" w:w="4320"/>
          </w:tcPr>
          <w:p>
            <w:r/>
            <w:r>
              <w:rPr>
                <w:sz w:val="20"/>
              </w:rPr>
              <w:t>Résumé extractif</w:t>
            </w:r>
          </w:p>
        </w:tc>
        <w:tc>
          <w:tcPr>
            <w:tcW w:type="dxa" w:w="4320"/>
          </w:tcPr>
          <w:p>
            <w:r/>
            <w:r>
              <w:rPr>
                <w:sz w:val="20"/>
              </w:rPr>
              <w:t>Résumé composé des phrases originales de la source, sans reformulation ni ajout.</w:t>
            </w:r>
          </w:p>
        </w:tc>
      </w:tr>
      <w:tr>
        <w:tc>
          <w:tcPr>
            <w:tcW w:type="dxa" w:w="4320"/>
          </w:tcPr>
          <w:p>
            <w:r/>
            <w:r>
              <w:rPr>
                <w:sz w:val="20"/>
              </w:rPr>
              <w:t>Axe</w:t>
            </w:r>
          </w:p>
        </w:tc>
        <w:tc>
          <w:tcPr>
            <w:tcW w:type="dxa" w:w="4320"/>
          </w:tcPr>
          <w:p>
            <w:r/>
            <w:r>
              <w:rPr>
                <w:sz w:val="20"/>
              </w:rPr>
              <w:t>Une des trois catégories du document : Biologique, Mécanique, Immunothérapie.</w:t>
            </w:r>
          </w:p>
        </w:tc>
      </w:tr>
    </w:tbl>
    <w:p/>
    <w:p>
      <w:r>
        <w:br w:type="page"/>
      </w:r>
    </w:p>
    <w:p>
      <w:pPr>
        <w:pStyle w:val="Heading1"/>
      </w:pPr>
      <w:r>
        <w:t>8. Annexe : mémo des commandes</w:t>
      </w:r>
    </w:p>
    <w:p>
      <w:pPr>
        <w:spacing w:before="40" w:after="200"/>
        <w:ind w:left="283"/>
        <w:shd w:fill="F2F2F2"/>
      </w:pPr>
      <w:r>
        <w:rPr>
          <w:rFonts w:ascii="Consolas" w:hAnsi="Consolas"/>
          <w:color w:val="1A1A1A"/>
          <w:sz w:val="19"/>
        </w:rPr>
        <w:t># Se placer dans le dossier du projet</w:t>
      </w:r>
      <w:r>
        <w:br/>
      </w:r>
      <w:r>
        <w:rPr>
          <w:rFonts w:ascii="Consolas" w:hAnsi="Consolas"/>
          <w:color w:val="1A1A1A"/>
          <w:sz w:val="19"/>
        </w:rPr>
        <w:t>cd "D:\Prog_Python\Veille_Diabete_Type_1"</w:t>
      </w:r>
      <w:r>
        <w:br/>
      </w:r>
      <w:r>
        <w:rPr>
          <w:rFonts w:ascii="Consolas" w:hAnsi="Consolas"/>
          <w:color w:val="1A1A1A"/>
          <w:sz w:val="19"/>
        </w:rPr>
      </w:r>
      <w:r>
        <w:br/>
      </w:r>
      <w:r>
        <w:rPr>
          <w:rFonts w:ascii="Consolas" w:hAnsi="Consolas"/>
          <w:color w:val="1A1A1A"/>
          <w:sz w:val="19"/>
        </w:rPr>
        <w:t># Test sans rien écrire, avec notification (à faire systématiquement avant une</w:t>
      </w:r>
      <w:r>
        <w:br/>
      </w:r>
      <w:r>
        <w:rPr>
          <w:rFonts w:ascii="Consolas" w:hAnsi="Consolas"/>
          <w:color w:val="1A1A1A"/>
          <w:sz w:val="19"/>
        </w:rPr>
        <w:t># vraie exécution)</w:t>
      </w:r>
      <w:r>
        <w:br/>
      </w:r>
      <w:r>
        <w:rPr>
          <w:rFonts w:ascii="Consolas" w:hAnsi="Consolas"/>
          <w:color w:val="1A1A1A"/>
          <w:sz w:val="19"/>
        </w:rPr>
        <w:t>.\run_veille.ps1 -DryRun</w:t>
      </w:r>
      <w:r>
        <w:br/>
      </w:r>
      <w:r>
        <w:rPr>
          <w:rFonts w:ascii="Consolas" w:hAnsi="Consolas"/>
          <w:color w:val="1A1A1A"/>
          <w:sz w:val="19"/>
        </w:rPr>
      </w:r>
      <w:r>
        <w:br/>
      </w:r>
      <w:r>
        <w:rPr>
          <w:rFonts w:ascii="Consolas" w:hAnsi="Consolas"/>
          <w:color w:val="1A1A1A"/>
          <w:sz w:val="19"/>
        </w:rPr>
        <w:t># Exécution réelle, avec notification</w:t>
      </w:r>
      <w:r>
        <w:br/>
      </w:r>
      <w:r>
        <w:rPr>
          <w:rFonts w:ascii="Consolas" w:hAnsi="Consolas"/>
          <w:color w:val="1A1A1A"/>
          <w:sz w:val="19"/>
        </w:rPr>
        <w:t>.\run_veille.ps1</w:t>
      </w:r>
      <w:r>
        <w:br/>
      </w:r>
      <w:r>
        <w:rPr>
          <w:rFonts w:ascii="Consolas" w:hAnsi="Consolas"/>
          <w:color w:val="1A1A1A"/>
          <w:sz w:val="19"/>
        </w:rPr>
      </w:r>
      <w:r>
        <w:br/>
      </w:r>
      <w:r>
        <w:rPr>
          <w:rFonts w:ascii="Consolas" w:hAnsi="Consolas"/>
          <w:color w:val="1A1A1A"/>
          <w:sz w:val="19"/>
        </w:rPr>
        <w:t># Test détaillé sur une période passée précise, sans tenir compte de la</w:t>
      </w:r>
      <w:r>
        <w:br/>
      </w:r>
      <w:r>
        <w:rPr>
          <w:rFonts w:ascii="Consolas" w:hAnsi="Consolas"/>
          <w:color w:val="1A1A1A"/>
          <w:sz w:val="19"/>
        </w:rPr>
        <w:t># déduplication, avec le détail des décisions de correspondance</w:t>
      </w:r>
      <w:r>
        <w:br/>
      </w:r>
      <w:r>
        <w:rPr>
          <w:rFonts w:ascii="Consolas" w:hAnsi="Consolas"/>
          <w:color w:val="1A1A1A"/>
          <w:sz w:val="19"/>
        </w:rPr>
        <w:t>.\.venv\Scripts\python.exe main.py --dry-run --debug --ignore-dedup --window-start 2026-09-01 --window-end 2026-09-18</w:t>
      </w:r>
      <w:r>
        <w:br/>
      </w:r>
      <w:r>
        <w:rPr>
          <w:rFonts w:ascii="Consolas" w:hAnsi="Consolas"/>
          <w:color w:val="1A1A1A"/>
          <w:sz w:val="19"/>
        </w:rPr>
      </w:r>
      <w:r>
        <w:br/>
      </w:r>
      <w:r>
        <w:rPr>
          <w:rFonts w:ascii="Consolas" w:hAnsi="Consolas"/>
          <w:color w:val="1A1A1A"/>
          <w:sz w:val="19"/>
        </w:rPr>
        <w:t># Valider la configuration email sans attendre une vraie nouveauté</w:t>
      </w:r>
      <w:r>
        <w:br/>
      </w:r>
      <w:r>
        <w:rPr>
          <w:rFonts w:ascii="Consolas" w:hAnsi="Consolas"/>
          <w:color w:val="1A1A1A"/>
          <w:sz w:val="19"/>
        </w:rPr>
        <w:t>.\.venv\Scripts\python.exe main.py --dry-run --test-email --limit 1</w:t>
      </w:r>
      <w:r>
        <w:br/>
      </w:r>
      <w:r>
        <w:rPr>
          <w:rFonts w:ascii="Consolas" w:hAnsi="Consolas"/>
          <w:color w:val="1A1A1A"/>
          <w:sz w:val="19"/>
        </w:rPr>
      </w:r>
      <w:r>
        <w:br/>
      </w:r>
      <w:r>
        <w:rPr>
          <w:rFonts w:ascii="Consolas" w:hAnsi="Consolas"/>
          <w:color w:val="1A1A1A"/>
          <w:sz w:val="19"/>
        </w:rPr>
        <w:t># Créer / modifier la tâche planifiée hebdomadaire</w:t>
      </w:r>
      <w:r>
        <w:br/>
      </w:r>
      <w:r>
        <w:rPr>
          <w:rFonts w:ascii="Consolas" w:hAnsi="Consolas"/>
          <w:color w:val="1A1A1A"/>
          <w:sz w:val="19"/>
        </w:rPr>
        <w:t>.\register_task.ps1 -DayOfWeek Monday -Time "07:00"</w:t>
      </w:r>
      <w:r>
        <w:br/>
      </w:r>
      <w:r>
        <w:rPr>
          <w:rFonts w:ascii="Consolas" w:hAnsi="Consolas"/>
          <w:color w:val="1A1A1A"/>
          <w:sz w:val="19"/>
        </w:rPr>
      </w:r>
      <w:r>
        <w:br/>
      </w:r>
      <w:r>
        <w:rPr>
          <w:rFonts w:ascii="Consolas" w:hAnsi="Consolas"/>
          <w:color w:val="1A1A1A"/>
          <w:sz w:val="19"/>
        </w:rPr>
        <w:t># Vérifier la tâche planifiée</w:t>
      </w:r>
      <w:r>
        <w:br/>
      </w:r>
      <w:r>
        <w:rPr>
          <w:rFonts w:ascii="Consolas" w:hAnsi="Consolas"/>
          <w:color w:val="1A1A1A"/>
          <w:sz w:val="19"/>
        </w:rPr>
        <w:t>Get-ScheduledTask -TaskName VeilleDT1 | Get-ScheduledTaskInfo</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pPr>
    <w:rPr>
      <w:rFonts w:ascii="Calibri" w:hAnsi="Calibri"/>
      <w:color w:val="20202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160"/>
      <w:outlineLvl w:val="0"/>
    </w:pPr>
    <w:rPr>
      <w:rFonts w:asciiTheme="majorHAnsi" w:eastAsiaTheme="majorEastAsia" w:hAnsiTheme="majorHAnsi" w:cstheme="majorBidi" w:ascii="Calibri" w:hAnsi="Calibri"/>
      <w:b/>
      <w:bCs/>
      <w:color w:val="1F4E79"/>
      <w:sz w:val="40"/>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ascii="Calibri" w:hAnsi="Calibri"/>
      <w:b/>
      <w:bCs/>
      <w:color w:val="1F4E79"/>
      <w:sz w:val="30"/>
      <w:szCs w:val="26"/>
    </w:rPr>
  </w:style>
  <w:style w:type="paragraph" w:styleId="Heading3">
    <w:name w:val="heading 3"/>
    <w:basedOn w:val="Normal"/>
    <w:next w:val="Normal"/>
    <w:link w:val="Heading3Char"/>
    <w:uiPriority w:val="9"/>
    <w:unhideWhenUsed/>
    <w:qFormat/>
    <w:rsid w:val="00FC693F"/>
    <w:pPr>
      <w:keepNext/>
      <w:keepLines/>
      <w:spacing w:before="240" w:after="120"/>
      <w:outlineLvl w:val="2"/>
    </w:pPr>
    <w:rPr>
      <w:rFonts w:asciiTheme="majorHAnsi" w:eastAsiaTheme="majorEastAsia" w:hAnsiTheme="majorHAnsi" w:cstheme="majorBidi" w:ascii="Calibri" w:hAnsi="Calibri"/>
      <w:b/>
      <w:bCs/>
      <w:color w:val="1F4E79"/>
      <w:sz w:val="25"/>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