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r>
    </w:p>
    <w:p>
      <w:r>
        <w:t>ABC Solutions Pvt. Ltd.</w:t>
        <w:br/>
        <w:t>Document ID:</w:t>
      </w:r>
    </w:p>
    <w:p>
      <w:r>
        <w:t>HR-POL-004</w:t>
      </w:r>
    </w:p>
    <w:p>
      <w:r>
        <w:t>Version:</w:t>
      </w:r>
    </w:p>
    <w:p>
      <w:r>
        <w:t>1.0</w:t>
      </w:r>
    </w:p>
    <w:p>
      <w:r>
        <w:t>Effective Date:</w:t>
      </w:r>
    </w:p>
    <w:p>
      <w:r>
        <w:t>January 1, 2026</w:t>
      </w:r>
    </w:p>
    <w:p>
      <w:r>
        <w:t>Title:</w:t>
      </w:r>
    </w:p>
    <w:p>
      <w:r>
        <w:t>Training and Development Policy</w:t>
      </w:r>
    </w:p>
    <w:p>
      <w:r>
        <w:t>Classification:</w:t>
      </w:r>
    </w:p>
    <w:p>
      <w:r>
        <w:t>Confidential – Internal Use Only</w:t>
      </w:r>
    </w:p>
    <w:p>
      <w:r>
        <w:t>1. Objective</w:t>
      </w:r>
    </w:p>
    <w:p>
      <w:r>
        <w:t>This policy establishes a structured and measurable framework for learning, skill development, leadership readiness, and capability building at ABC Solutions Pvt. Ltd. The objective is to ensure that employees acquire and maintain competencies aligned with business strategy, regulatory requirements, and technological evolution, while providing auditable linkage between training investments, performance outcomes, and career progression.</w:t>
      </w:r>
    </w:p>
    <w:p>
      <w:r>
        <w:t>2. Scope</w:t>
      </w:r>
    </w:p>
    <w:p>
      <w:r>
        <w:t>This policy applies to all confirmed employees across all grades (G1 to G10), functions, and locations of ABC Solutions Pvt. Ltd. The policy is administered by the Learning &amp; Development (L&amp;D) function under the authority of the Chief Human Resources Officer (CHRO) and is subject to budgetary oversight by the Chief Financial Officer (CFO) and strategic review by the Chief Operating Officer (COO).</w:t>
      </w:r>
    </w:p>
    <w:p>
      <w:r>
        <w:t>3. Definitions</w:t>
      </w:r>
    </w:p>
    <w:p>
      <w:r>
        <w:t>3.1</w:t>
      </w:r>
    </w:p>
    <w:p>
      <w:r>
        <w:t>Mandatory Training:</w:t>
      </w:r>
    </w:p>
    <w:p>
      <w:r>
        <w:t>Training programs designated as compulsory for compliance, role readiness, or safety.</w:t>
        <w:br/>
        <w:t>3.2</w:t>
      </w:r>
    </w:p>
    <w:p>
      <w:r>
        <w:t>Functional Training:</w:t>
      </w:r>
    </w:p>
    <w:p>
      <w:r>
        <w:t>Skill programs aligned to specific job families or technologies.</w:t>
        <w:br/>
        <w:t>3.3</w:t>
      </w:r>
    </w:p>
    <w:p>
      <w:r>
        <w:t>Leadership Development Programs (LDP):</w:t>
      </w:r>
    </w:p>
    <w:p>
      <w:r>
        <w:t>Structured programs for managerial and senior leadership roles.</w:t>
        <w:br/>
        <w:t>3.4</w:t>
      </w:r>
    </w:p>
    <w:p>
      <w:r>
        <w:t>Certification Bond:</w:t>
      </w:r>
    </w:p>
    <w:p>
      <w:r>
        <w:t>Service commitment required in return for company-sponsored high-value certifications.</w:t>
      </w:r>
    </w:p>
    <w:p>
      <w:r>
        <w:t>4. Training Framework</w:t>
      </w:r>
    </w:p>
    <w:p>
      <w:r>
        <w:t>4.1</w:t>
      </w:r>
    </w:p>
    <w:p>
      <w:r>
        <w:t>Annual Learning Hours</w:t>
      </w:r>
    </w:p>
    <w:p>
      <w:r>
        <w:t>4.1.1 Employees in Grades G1–G4 shall complete a minimum of 40 learning hours per financial year.</w:t>
        <w:br/>
        <w:t>4.1.2 Employees in Grades G5 and above shall complete a minimum of 24 learning hours per financial year.</w:t>
        <w:br/>
        <w:t>4.1.3 Non-completion of mandatory hours shall be recorded as a compliance shortfall in the Performance Appraisal Policy (HR-POL-006), Clause 5.3.</w:t>
      </w:r>
    </w:p>
    <w:p>
      <w:r>
        <w:t>4.2</w:t>
      </w:r>
    </w:p>
    <w:p>
      <w:r>
        <w:t>Training Categories</w:t>
      </w:r>
    </w:p>
    <w:p>
      <w:r>
        <w:t>4.2.1 Compliance Training: Information Security, POSH, Ethics, Data Privacy, and Safety.</w:t>
        <w:br/>
        <w:t>4.2.2 Functional Training: Role-specific technical and domain programs.</w:t>
        <w:br/>
        <w:t>4.2.3 Leadership and Behavioral Training: People management, financial acumen, and strategic thinking.</w:t>
      </w:r>
    </w:p>
    <w:p>
      <w:r>
        <w:t>4.3</w:t>
      </w:r>
    </w:p>
    <w:p>
      <w:r>
        <w:t>Budget and Financial Controls</w:t>
      </w:r>
    </w:p>
    <w:p>
      <w:r>
        <w:t>4.3.1 The annual training budget shall not exceed 3% of total payroll.</w:t>
        <w:br/>
        <w:t>4.3.2 The per-employee training cost ceiling shall be INR 75,000 per financial year unless approved by the CHRO and CFO.</w:t>
        <w:br/>
        <w:t>4.3.3 Programs exceeding INR 1,00,000 per employee shall require COO approval.</w:t>
      </w:r>
    </w:p>
    <w:p>
      <w:r>
        <w:t>4.4</w:t>
      </w:r>
    </w:p>
    <w:p>
      <w:r>
        <w:t>Certification Sponsorship and Bond</w:t>
      </w:r>
    </w:p>
    <w:p>
      <w:r>
        <w:t>4.4.1 Company-sponsored external certifications with a cost exceeding INR 1,00,000 shall require execution of a 12-month service bond from the date of certification.</w:t>
        <w:br/>
        <w:t>4.4.2 Early separation during the bond period shall result in pro-rata recovery of training expenses under Termination and Suspension Policy (HR-POL-005), Clause 4.5.</w:t>
      </w:r>
    </w:p>
    <w:p>
      <w:r>
        <w:t>4.5</w:t>
      </w:r>
    </w:p>
    <w:p>
      <w:r>
        <w:t>Nomination and Selection</w:t>
      </w:r>
    </w:p>
    <w:p>
      <w:r>
        <w:t>4.5.1 Nomination for advanced functional or leadership programs shall be based on performance history, potential assessment, and succession planning.</w:t>
        <w:br/>
        <w:t>4.5.2 Final approval for leadership programs shall rest with the COO on recommendation of the CHRO.</w:t>
      </w:r>
    </w:p>
    <w:p>
      <w:r>
        <w:t>5. Linkage to Performance and Career Progression</w:t>
      </w:r>
    </w:p>
    <w:p>
      <w:r>
        <w:t>5.1 Completion of mandatory training is a prerequisite for performance rating normalization under Performance Appraisal Policy (HR-POL-006), Clause 4.4.</w:t>
        <w:br/>
        <w:t>5.2 Promotion eligibility requires completion of all role-mandated certifications and leadership readiness programs as specified in HR-POL-006, Clause 5.3.</w:t>
        <w:br/>
        <w:t>5.3 Employees with repeated training non-compliance may be placed on corrective development plans or Performance Improvement Plans (PIP).</w:t>
      </w:r>
    </w:p>
    <w:p>
      <w:r>
        <w:t>6. Learning Records and Assessment</w:t>
      </w:r>
    </w:p>
    <w:p>
      <w:r>
        <w:t>6.1 All training participation, assessment scores, and certifications shall be recorded in the Learning Management System (LMS).</w:t>
        <w:br/>
        <w:t>6.2 Certification exams and post-training assessments shall require a minimum passing score of 70% unless otherwise specified by regulatory standards.</w:t>
        <w:br/>
        <w:t>6.3 Training effectiveness shall be evaluated annually using Kirkpatrick Level 1–3 metrics and linked to performance outcomes.</w:t>
      </w:r>
    </w:p>
    <w:p>
      <w:r>
        <w:t>7. Cross-Policy Dependencies</w:t>
      </w:r>
    </w:p>
    <w:p>
      <w:r>
        <w:t>7.1</w:t>
      </w:r>
    </w:p>
    <w:p>
      <w:r>
        <w:t>Performance Appraisal:</w:t>
      </w:r>
    </w:p>
    <w:p>
      <w:r>
        <w:t>Training completion and certification status shall be considered in rating calibration under HR-POL-006.</w:t>
        <w:br/>
        <w:t>7.2</w:t>
      </w:r>
    </w:p>
    <w:p>
      <w:r>
        <w:t>Equal Opportunity:</w:t>
      </w:r>
    </w:p>
    <w:p>
      <w:r>
        <w:t>Access to training and development opportunities shall be governed by HR-POL-002 to ensure non-discrimination.</w:t>
        <w:br/>
        <w:t>7.3</w:t>
      </w:r>
    </w:p>
    <w:p>
      <w:r>
        <w:t>Termination and Bonds:</w:t>
      </w:r>
    </w:p>
    <w:p>
      <w:r>
        <w:t>Recovery of training costs upon early exit shall be governed by HR-POL-005.</w:t>
        <w:br/>
        <w:t>7.4</w:t>
      </w:r>
    </w:p>
    <w:p>
      <w:r>
        <w:t>Remote Work:</w:t>
      </w:r>
    </w:p>
    <w:p>
      <w:r>
        <w:t>Eligibility for advanced virtual programs shall align with HR-POL-009.</w:t>
      </w:r>
    </w:p>
    <w:p>
      <w:r>
        <w:t>8. Audit and Compliance</w:t>
      </w:r>
    </w:p>
    <w:p>
      <w:r>
        <w:t>8.1 Annual audit of training expenditure, participation rates, and certification outcomes shall be conducted by Internal Audit.</w:t>
        <w:br/>
        <w:t>8.2 Variance exceeding ±10% from approved training budgets or mandatory completion targets shall be reviewed by the CHRO and CFO.</w:t>
        <w:br/>
        <w:t>8.3 Regulatory and compliance training completion shall be reported to the Risk and Compliance Committee.</w:t>
      </w:r>
    </w:p>
    <w:p>
      <w:r>
        <w:t>9. Enforcement</w:t>
      </w:r>
    </w:p>
    <w:p>
      <w:r>
        <w:t>Failure to comply with mandatory training requirements, falsification of certification records, or breach of bond obligations shall invite disciplinary action, financial recovery, and other measures as deemed appropriate by the CHRO in accordance with the Termination and Suspension Policy (HR-POL-005).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