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86956" w14:textId="77777777" w:rsidR="004B148C" w:rsidRPr="004B148C" w:rsidRDefault="004B148C" w:rsidP="004B148C">
      <w:pPr>
        <w:rPr>
          <w:b/>
          <w:bCs/>
        </w:rPr>
      </w:pPr>
      <w:r w:rsidRPr="004B148C">
        <w:rPr>
          <w:b/>
          <w:bCs/>
        </w:rPr>
        <w:t>Executive Summary</w:t>
      </w:r>
    </w:p>
    <w:p w14:paraId="0B2DCFF4" w14:textId="77777777" w:rsidR="004B148C" w:rsidRPr="004B148C" w:rsidRDefault="004B148C" w:rsidP="004B148C">
      <w:r w:rsidRPr="004B148C">
        <w:t>This proposal outlines the deployment of an AI-powered compliance and regulatory document analysis assistant tailored for a sophisticated financial services organization. The proposed solution addresses the systemic challenges associated with the increasing volume, velocity, and complexity of global financial regulations. By leveraging advanced natural language processing and retrieval-augmented generation (RAG), the system provides compliance teams with an automated interface to query internal policies and external regulatory frameworks.</w:t>
      </w:r>
    </w:p>
    <w:p w14:paraId="778F7098" w14:textId="77777777" w:rsidR="004B148C" w:rsidRPr="004B148C" w:rsidRDefault="004B148C" w:rsidP="004B148C">
      <w:r w:rsidRPr="004B148C">
        <w:t>The primary objective is to reduce the manual burden of document review while enhancing the accuracy and consistency of regulatory interpretation. Unlike general-purpose AI models, this solution is designed with a "compliance-first" architecture, prioritizing deterministic grounding, full auditability, and human-in-the-loop validation. The implementation focuses on creating a reliable evidentiary trail for internal and external audits, ensuring that every AI-generated insight is directly linked to an official source document.</w:t>
      </w:r>
    </w:p>
    <w:p w14:paraId="54DF76D2" w14:textId="77777777" w:rsidR="004B148C" w:rsidRPr="004B148C" w:rsidRDefault="004B148C" w:rsidP="004B148C">
      <w:r w:rsidRPr="004B148C">
        <w:pict w14:anchorId="1C37C177">
          <v:rect id="_x0000_i1079" style="width:0;height:1.5pt" o:hralign="center" o:hrstd="t" o:hrnoshade="t" o:hr="t" fillcolor="gray" stroked="f"/>
        </w:pict>
      </w:r>
    </w:p>
    <w:p w14:paraId="1BDE3D05" w14:textId="77777777" w:rsidR="004B148C" w:rsidRPr="004B148C" w:rsidRDefault="004B148C" w:rsidP="004B148C">
      <w:pPr>
        <w:rPr>
          <w:b/>
          <w:bCs/>
        </w:rPr>
      </w:pPr>
      <w:r w:rsidRPr="004B148C">
        <w:rPr>
          <w:b/>
          <w:bCs/>
        </w:rPr>
        <w:t>Business Context</w:t>
      </w:r>
    </w:p>
    <w:p w14:paraId="37D79D6B" w14:textId="77777777" w:rsidR="004B148C" w:rsidRPr="004B148C" w:rsidRDefault="004B148C" w:rsidP="004B148C">
      <w:r w:rsidRPr="004B148C">
        <w:t>Financial institutions currently operate in an environment characterized by a relentless influx of regulatory updates from multiple jurisdictions (e.g., SEC, FINRA, FCA, ESMA). The traditional reliance on manual review processes has become unsustainable for several reasons:</w:t>
      </w:r>
    </w:p>
    <w:p w14:paraId="65BED8FA" w14:textId="77777777" w:rsidR="004B148C" w:rsidRPr="004B148C" w:rsidRDefault="004B148C" w:rsidP="004B148C">
      <w:r w:rsidRPr="004B148C">
        <w:rPr>
          <w:b/>
          <w:bCs/>
        </w:rPr>
        <w:t>Volume and Velocity of Change:</w:t>
      </w:r>
      <w:r w:rsidRPr="004B148C">
        <w:t xml:space="preserve"> The sheer number of daily regulatory alerts and multi-hundred-page policy updates exceeds the processing capacity of human legal and compliance teams without significant technological assistance.</w:t>
      </w:r>
    </w:p>
    <w:p w14:paraId="6596D71E" w14:textId="77777777" w:rsidR="004B148C" w:rsidRPr="004B148C" w:rsidRDefault="004B148C" w:rsidP="004B148C">
      <w:r w:rsidRPr="004B148C">
        <w:rPr>
          <w:b/>
          <w:bCs/>
        </w:rPr>
        <w:t>Inconsistent Interpretation:</w:t>
      </w:r>
      <w:r w:rsidRPr="004B148C">
        <w:t xml:space="preserve"> Manual analysis often leads to subjective interpretations of complex rules. This inconsistency across different business units or geographic regions can result in regulatory gaps or operational inefficiencies.</w:t>
      </w:r>
    </w:p>
    <w:p w14:paraId="66C7941B" w14:textId="77777777" w:rsidR="004B148C" w:rsidRPr="004B148C" w:rsidRDefault="004B148C" w:rsidP="004B148C">
      <w:r w:rsidRPr="004B148C">
        <w:rPr>
          <w:b/>
          <w:bCs/>
        </w:rPr>
        <w:t>Manual Review Burden:</w:t>
      </w:r>
      <w:r w:rsidRPr="004B148C">
        <w:t xml:space="preserve"> Skilled compliance officers spend a disproportionate amount of time on basic information retrieval and document cross-referencing, detracting from high-value strategic risk assessment and advisory roles.</w:t>
      </w:r>
    </w:p>
    <w:p w14:paraId="1189B377" w14:textId="77777777" w:rsidR="004B148C" w:rsidRPr="004B148C" w:rsidRDefault="004B148C" w:rsidP="004B148C">
      <w:r w:rsidRPr="004B148C">
        <w:rPr>
          <w:b/>
          <w:bCs/>
        </w:rPr>
        <w:t>Audit Readiness Pressure:</w:t>
      </w:r>
      <w:r w:rsidRPr="004B148C">
        <w:t xml:space="preserve"> Preparing for regulatory examinations requires the rapid consolidation of evidence to prove that specific rules have been mapped to internal controls. Gaps in this traceability pose significant legal and reputational risks.</w:t>
      </w:r>
    </w:p>
    <w:p w14:paraId="6AB6A608" w14:textId="77777777" w:rsidR="004B148C" w:rsidRPr="004B148C" w:rsidRDefault="004B148C" w:rsidP="004B148C">
      <w:r w:rsidRPr="004B148C">
        <w:pict w14:anchorId="2205C5A1">
          <v:rect id="_x0000_i1080" style="width:0;height:1.5pt" o:hralign="center" o:hrstd="t" o:hrnoshade="t" o:hr="t" fillcolor="gray" stroked="f"/>
        </w:pict>
      </w:r>
    </w:p>
    <w:p w14:paraId="7C0C7DE2" w14:textId="77777777" w:rsidR="004B148C" w:rsidRPr="004B148C" w:rsidRDefault="004B148C" w:rsidP="004B148C">
      <w:pPr>
        <w:rPr>
          <w:b/>
          <w:bCs/>
        </w:rPr>
      </w:pPr>
      <w:r w:rsidRPr="004B148C">
        <w:rPr>
          <w:b/>
          <w:bCs/>
        </w:rPr>
        <w:t>Proposed Solution Overview</w:t>
      </w:r>
    </w:p>
    <w:p w14:paraId="06464669" w14:textId="77777777" w:rsidR="004B148C" w:rsidRPr="004B148C" w:rsidRDefault="004B148C" w:rsidP="004B148C">
      <w:r w:rsidRPr="004B148C">
        <w:t>The proposed solution is an Intelligent Regulatory Assistant (IRA) designed to function as a specialized layer between the organization’s knowledge base and its compliance professionals. The system is not intended to replace human judgment; rather, it serves as a high-fidelity information retrieval and synthesis engine.</w:t>
      </w:r>
    </w:p>
    <w:p w14:paraId="5107CEA2" w14:textId="77777777" w:rsidR="004B148C" w:rsidRPr="004B148C" w:rsidRDefault="004B148C" w:rsidP="004B148C">
      <w:r w:rsidRPr="004B148C">
        <w:t xml:space="preserve">At its core, the system utilizes a retrieval-based grounding mechanism. This ensures that the AI does not generate responses based on its pre-trained general knowledge, which may be outdated or inaccurate in a legal context. Instead, it identifies relevant sections within the organization’s vetted document repository—including policy manuals, rulebooks, and circulars—to provide precise, </w:t>
      </w:r>
      <w:r w:rsidRPr="004B148C">
        <w:lastRenderedPageBreak/>
        <w:t>context-aware answers. Every output is accompanied by a direct reference to the source text, enabling immediate verification by a human subject matter expert.</w:t>
      </w:r>
    </w:p>
    <w:p w14:paraId="338F084D" w14:textId="77777777" w:rsidR="004B148C" w:rsidRPr="004B148C" w:rsidRDefault="004B148C" w:rsidP="004B148C">
      <w:r w:rsidRPr="004B148C">
        <w:pict w14:anchorId="527B6B55">
          <v:rect id="_x0000_i1081" style="width:0;height:1.5pt" o:hralign="center" o:hrstd="t" o:hrnoshade="t" o:hr="t" fillcolor="gray" stroked="f"/>
        </w:pict>
      </w:r>
    </w:p>
    <w:p w14:paraId="113E3796" w14:textId="77777777" w:rsidR="004B148C" w:rsidRPr="004B148C" w:rsidRDefault="004B148C" w:rsidP="004B148C">
      <w:pPr>
        <w:rPr>
          <w:b/>
          <w:bCs/>
        </w:rPr>
      </w:pPr>
      <w:r w:rsidRPr="004B148C">
        <w:rPr>
          <w:b/>
          <w:bCs/>
        </w:rPr>
        <w:t>Functional Scope and Key Capabilities</w:t>
      </w:r>
    </w:p>
    <w:p w14:paraId="1AE71F28" w14:textId="77777777" w:rsidR="004B148C" w:rsidRPr="004B148C" w:rsidRDefault="004B148C" w:rsidP="004B148C">
      <w:r w:rsidRPr="004B148C">
        <w:t>The scope of the IRA encompasses four primary functional areas designed to support the end-to-end compliance lifecycle:</w:t>
      </w:r>
    </w:p>
    <w:p w14:paraId="2FA2F4B5" w14:textId="77777777" w:rsidR="004B148C" w:rsidRPr="004B148C" w:rsidRDefault="004B148C" w:rsidP="004B148C">
      <w:r w:rsidRPr="004B148C">
        <w:rPr>
          <w:b/>
          <w:bCs/>
        </w:rPr>
        <w:t>Regulatory Document Synthesis:</w:t>
      </w:r>
      <w:r w:rsidRPr="004B148C">
        <w:t xml:space="preserve"> The system can ingest and </w:t>
      </w:r>
      <w:proofErr w:type="spellStart"/>
      <w:r w:rsidRPr="004B148C">
        <w:t>analyze</w:t>
      </w:r>
      <w:proofErr w:type="spellEnd"/>
      <w:r w:rsidRPr="004B148C">
        <w:t xml:space="preserve"> lengthy regulatory filings or new legislative updates, extracting key mandates, deadlines, and impacted business areas. It can compare new regulations against existing internal policies to identify necessary revisions.</w:t>
      </w:r>
    </w:p>
    <w:p w14:paraId="19929FEB" w14:textId="77777777" w:rsidR="004B148C" w:rsidRPr="004B148C" w:rsidRDefault="004B148C" w:rsidP="004B148C">
      <w:r w:rsidRPr="004B148C">
        <w:rPr>
          <w:b/>
          <w:bCs/>
        </w:rPr>
        <w:t>Interpretative Support:</w:t>
      </w:r>
      <w:r w:rsidRPr="004B148C">
        <w:t xml:space="preserve"> Compliance officers can query the system regarding specific regulatory scenarios. For example, a user might ask, "What are the specific disclosure requirements for retail investors under the updated MiFID II framework as reflected in our internal Wealth Management policy?" The system will retrieve the relevant clauses and summarize the requirements.</w:t>
      </w:r>
    </w:p>
    <w:p w14:paraId="290DBDE2" w14:textId="77777777" w:rsidR="004B148C" w:rsidRPr="004B148C" w:rsidRDefault="004B148C" w:rsidP="004B148C">
      <w:r w:rsidRPr="004B148C">
        <w:rPr>
          <w:b/>
          <w:bCs/>
        </w:rPr>
        <w:t>Audit and Examination Preparation:</w:t>
      </w:r>
      <w:r w:rsidRPr="004B148C">
        <w:t xml:space="preserve"> The assistant facilitates "gap analysis" by mapping regulatory requirements to internal control evidence. During an audit, it can be used to quickly locate the specific policy version and section that governed a particular process at a specific point in time.</w:t>
      </w:r>
    </w:p>
    <w:p w14:paraId="0F3A53D5" w14:textId="77777777" w:rsidR="004B148C" w:rsidRPr="004B148C" w:rsidRDefault="004B148C" w:rsidP="004B148C">
      <w:r w:rsidRPr="004B148C">
        <w:rPr>
          <w:b/>
          <w:bCs/>
        </w:rPr>
        <w:t>Evidence-Backed Output Generation:</w:t>
      </w:r>
      <w:r w:rsidRPr="004B148C">
        <w:t xml:space="preserve"> All summaries, reports, and query responses include a citation layer. This ensures that any memo or report generated by the tool is backed by an evidentiary trail, showing the exact page and paragraph used to formulate the response.</w:t>
      </w:r>
    </w:p>
    <w:p w14:paraId="4BAEC5DB" w14:textId="77777777" w:rsidR="004B148C" w:rsidRPr="004B148C" w:rsidRDefault="004B148C" w:rsidP="004B148C">
      <w:r w:rsidRPr="004B148C">
        <w:pict w14:anchorId="63D17E68">
          <v:rect id="_x0000_i1082" style="width:0;height:1.5pt" o:hralign="center" o:hrstd="t" o:hrnoshade="t" o:hr="t" fillcolor="gray" stroked="f"/>
        </w:pict>
      </w:r>
    </w:p>
    <w:p w14:paraId="0AE9343C" w14:textId="77777777" w:rsidR="004B148C" w:rsidRPr="004B148C" w:rsidRDefault="004B148C" w:rsidP="004B148C">
      <w:pPr>
        <w:rPr>
          <w:b/>
          <w:bCs/>
        </w:rPr>
      </w:pPr>
      <w:r w:rsidRPr="004B148C">
        <w:rPr>
          <w:b/>
          <w:bCs/>
        </w:rPr>
        <w:t>Approach and Architecture</w:t>
      </w:r>
    </w:p>
    <w:p w14:paraId="2F8594D3" w14:textId="77777777" w:rsidR="004B148C" w:rsidRPr="004B148C" w:rsidRDefault="004B148C" w:rsidP="004B148C">
      <w:r w:rsidRPr="004B148C">
        <w:t>The architecture follows a modular, secure design that integrates with the institution’s existing data infrastructure. It is built on three foundational pillars:</w:t>
      </w:r>
    </w:p>
    <w:p w14:paraId="32AB30E1" w14:textId="77777777" w:rsidR="004B148C" w:rsidRPr="004B148C" w:rsidRDefault="004B148C" w:rsidP="004B148C">
      <w:pPr>
        <w:rPr>
          <w:b/>
          <w:bCs/>
        </w:rPr>
      </w:pPr>
      <w:r w:rsidRPr="004B148C">
        <w:rPr>
          <w:b/>
          <w:bCs/>
        </w:rPr>
        <w:t>1. Retrieval-Augmented Generation (RAG)</w:t>
      </w:r>
    </w:p>
    <w:p w14:paraId="6C7EF37D" w14:textId="77777777" w:rsidR="004B148C" w:rsidRPr="004B148C" w:rsidRDefault="004B148C" w:rsidP="004B148C">
      <w:r w:rsidRPr="004B148C">
        <w:t xml:space="preserve">To ensure the highest degree of accuracy, the system employs a RAG architecture. When a user submits a query, the system converts it into a mathematical vector and searches a private, indexed database of the organization’s documents. It retrieves the most relevant snippets and provides them to the language model as the </w:t>
      </w:r>
      <w:r w:rsidRPr="004B148C">
        <w:rPr>
          <w:i/>
          <w:iCs/>
        </w:rPr>
        <w:t>exclusive</w:t>
      </w:r>
      <w:r w:rsidRPr="004B148C">
        <w:t xml:space="preserve"> context for generating an answer. This minimizes the risk of "hallucinations" by constraining the AI to the provided text.</w:t>
      </w:r>
    </w:p>
    <w:p w14:paraId="5D4FF4C0" w14:textId="77777777" w:rsidR="004B148C" w:rsidRPr="004B148C" w:rsidRDefault="004B148C" w:rsidP="004B148C">
      <w:pPr>
        <w:rPr>
          <w:b/>
          <w:bCs/>
        </w:rPr>
      </w:pPr>
      <w:r w:rsidRPr="004B148C">
        <w:rPr>
          <w:b/>
          <w:bCs/>
        </w:rPr>
        <w:t>2. Knowledge Indexing and Versioning</w:t>
      </w:r>
    </w:p>
    <w:p w14:paraId="5F6D4AC8" w14:textId="77777777" w:rsidR="004B148C" w:rsidRPr="004B148C" w:rsidRDefault="004B148C" w:rsidP="004B148C">
      <w:r w:rsidRPr="004B148C">
        <w:t>The document repository maintains strict version control. Compliance documents are indexed with metadata including effective dates, jurisdiction, and document type. This allows users to query "as-of" dates, which is critical for retrospective audits where the current policy may differ from the policy in place during the period under review.</w:t>
      </w:r>
    </w:p>
    <w:p w14:paraId="7EDABD1C" w14:textId="77777777" w:rsidR="004B148C" w:rsidRPr="004B148C" w:rsidRDefault="004B148C" w:rsidP="004B148C">
      <w:pPr>
        <w:rPr>
          <w:b/>
          <w:bCs/>
        </w:rPr>
      </w:pPr>
      <w:r w:rsidRPr="004B148C">
        <w:rPr>
          <w:b/>
          <w:bCs/>
        </w:rPr>
        <w:t>3. Traceability and Citation Engine</w:t>
      </w:r>
    </w:p>
    <w:p w14:paraId="2895CEF0" w14:textId="77777777" w:rsidR="004B148C" w:rsidRPr="004B148C" w:rsidRDefault="004B148C" w:rsidP="004B148C">
      <w:r w:rsidRPr="004B148C">
        <w:t>The architecture includes a dedicated attribution layer. Each generated sentence is mapped back to its source vector. In the user interface, this manifests as clickable footnotes that open the original PDF or document at the exact location of the referenced text.</w:t>
      </w:r>
    </w:p>
    <w:p w14:paraId="16309918" w14:textId="77777777" w:rsidR="004B148C" w:rsidRPr="004B148C" w:rsidRDefault="004B148C" w:rsidP="004B148C">
      <w:r w:rsidRPr="004B148C">
        <w:lastRenderedPageBreak/>
        <w:pict w14:anchorId="76EB5683">
          <v:rect id="_x0000_i1083" style="width:0;height:1.5pt" o:hralign="center" o:hrstd="t" o:hrnoshade="t" o:hr="t" fillcolor="gray" stroked="f"/>
        </w:pict>
      </w:r>
    </w:p>
    <w:p w14:paraId="616DE145" w14:textId="77777777" w:rsidR="004B148C" w:rsidRPr="004B148C" w:rsidRDefault="004B148C" w:rsidP="004B148C">
      <w:pPr>
        <w:rPr>
          <w:b/>
          <w:bCs/>
        </w:rPr>
      </w:pPr>
      <w:r w:rsidRPr="004B148C">
        <w:rPr>
          <w:b/>
          <w:bCs/>
        </w:rPr>
        <w:t>Security, Compliance, and Governance Considerations</w:t>
      </w:r>
    </w:p>
    <w:p w14:paraId="4F67ECB5" w14:textId="77777777" w:rsidR="004B148C" w:rsidRPr="004B148C" w:rsidRDefault="004B148C" w:rsidP="004B148C">
      <w:r w:rsidRPr="004B148C">
        <w:t>In a financial services context, the governance of AI is as critical as the technology itself. The proposed solution includes the following controls:</w:t>
      </w:r>
    </w:p>
    <w:p w14:paraId="60F0B105" w14:textId="77777777" w:rsidR="004B148C" w:rsidRPr="004B148C" w:rsidRDefault="004B148C" w:rsidP="004B148C">
      <w:r w:rsidRPr="004B148C">
        <w:rPr>
          <w:b/>
          <w:bCs/>
        </w:rPr>
        <w:t>Role-Based Access Control (RBAC):</w:t>
      </w:r>
      <w:r w:rsidRPr="004B148C">
        <w:t xml:space="preserve"> The system integrates with the organization's existing Identity and Access Management (IAM) protocols (e.g., Active Directory). Access to sensitive or restricted policy documents is limited to authorized personnel based on their role and business unit.</w:t>
      </w:r>
    </w:p>
    <w:p w14:paraId="0CC401C8" w14:textId="77777777" w:rsidR="004B148C" w:rsidRPr="004B148C" w:rsidRDefault="004B148C" w:rsidP="004B148C">
      <w:r w:rsidRPr="004B148C">
        <w:rPr>
          <w:b/>
          <w:bCs/>
        </w:rPr>
        <w:t>Explainability and Audit Trails:</w:t>
      </w:r>
      <w:r w:rsidRPr="004B148C">
        <w:t xml:space="preserve"> Every interaction with the IRA is logged in a tamper-evident audit trail. This log includes the user ID, the query, the retrieved document fragments, the model's output, and any subsequent human modifications. This provides transparency for internal auditors and external regulators.</w:t>
      </w:r>
    </w:p>
    <w:p w14:paraId="56851DE3" w14:textId="77777777" w:rsidR="004B148C" w:rsidRPr="004B148C" w:rsidRDefault="004B148C" w:rsidP="004B148C">
      <w:r w:rsidRPr="004B148C">
        <w:rPr>
          <w:b/>
          <w:bCs/>
        </w:rPr>
        <w:t>Human-in-the-Loop (HITL) Validation:</w:t>
      </w:r>
      <w:r w:rsidRPr="004B148C">
        <w:t xml:space="preserve"> The system is designed to facilitate human oversight. Users are prompted to "verify and approve" AI-generated summaries before they are finalized in the system of record. The AI is positioned as a drafter, while the compliance officer remains the sole "approver" of regulatory interpretations.</w:t>
      </w:r>
    </w:p>
    <w:p w14:paraId="4BD86B33" w14:textId="77777777" w:rsidR="004B148C" w:rsidRPr="004B148C" w:rsidRDefault="004B148C" w:rsidP="004B148C">
      <w:r w:rsidRPr="004B148C">
        <w:rPr>
          <w:b/>
          <w:bCs/>
        </w:rPr>
        <w:t>Data Residency and Privacy:</w:t>
      </w:r>
      <w:r w:rsidRPr="004B148C">
        <w:t xml:space="preserve"> The deployment model utilizes a private cloud instance, ensuring that proprietary policy data and sensitive regulatory information never exit the </w:t>
      </w:r>
      <w:proofErr w:type="gramStart"/>
      <w:r w:rsidRPr="004B148C">
        <w:t>institution’s controlled</w:t>
      </w:r>
      <w:proofErr w:type="gramEnd"/>
      <w:r w:rsidRPr="004B148C">
        <w:t xml:space="preserve"> environment. The data is not used to train public models or models accessible by other organizations.</w:t>
      </w:r>
    </w:p>
    <w:p w14:paraId="48956648" w14:textId="77777777" w:rsidR="004B148C" w:rsidRPr="004B148C" w:rsidRDefault="004B148C" w:rsidP="004B148C">
      <w:r w:rsidRPr="004B148C">
        <w:pict w14:anchorId="3D62CDA9">
          <v:rect id="_x0000_i1084" style="width:0;height:1.5pt" o:hralign="center" o:hrstd="t" o:hrnoshade="t" o:hr="t" fillcolor="gray" stroked="f"/>
        </w:pict>
      </w:r>
    </w:p>
    <w:p w14:paraId="2681C16F" w14:textId="77777777" w:rsidR="004B148C" w:rsidRPr="004B148C" w:rsidRDefault="004B148C" w:rsidP="004B148C">
      <w:pPr>
        <w:rPr>
          <w:b/>
          <w:bCs/>
        </w:rPr>
      </w:pPr>
      <w:r w:rsidRPr="004B148C">
        <w:rPr>
          <w:b/>
          <w:bCs/>
        </w:rPr>
        <w:t>Implementation Plan and Timeline</w:t>
      </w:r>
    </w:p>
    <w:p w14:paraId="5AE67AAB" w14:textId="77777777" w:rsidR="004B148C" w:rsidRPr="004B148C" w:rsidRDefault="004B148C" w:rsidP="004B148C">
      <w:r w:rsidRPr="004B148C">
        <w:t>The implementation is structured into four distinct phases over a 24-week period to ensure stability and alignment with organizational needs:</w:t>
      </w:r>
    </w:p>
    <w:p w14:paraId="56FCC690" w14:textId="77777777" w:rsidR="004B148C" w:rsidRPr="004B148C" w:rsidRDefault="004B148C" w:rsidP="004B148C">
      <w:r w:rsidRPr="004B148C">
        <w:rPr>
          <w:b/>
          <w:bCs/>
        </w:rPr>
        <w:t>Phase 1: Discovery and Environment Setup (Weeks 1-4):</w:t>
      </w:r>
    </w:p>
    <w:p w14:paraId="3A5A775A" w14:textId="77777777" w:rsidR="004B148C" w:rsidRPr="004B148C" w:rsidRDefault="004B148C" w:rsidP="004B148C">
      <w:r w:rsidRPr="004B148C">
        <w:rPr>
          <w:i/>
          <w:iCs/>
        </w:rPr>
        <w:t>Define key use cases and success metrics. Establish the secure cloud environment and integrate with the institution's document management systems. Conduct initial data mapping and metadata definition.</w:t>
      </w:r>
    </w:p>
    <w:p w14:paraId="3BA186E5" w14:textId="77777777" w:rsidR="004B148C" w:rsidRPr="004B148C" w:rsidRDefault="004B148C" w:rsidP="004B148C">
      <w:r w:rsidRPr="004B148C">
        <w:rPr>
          <w:b/>
          <w:bCs/>
        </w:rPr>
        <w:t>Phase 2: Data Ingestion and Indexing (Weeks 5-10):</w:t>
      </w:r>
    </w:p>
    <w:p w14:paraId="3EC0D8CE" w14:textId="77777777" w:rsidR="004B148C" w:rsidRPr="004B148C" w:rsidRDefault="004B148C" w:rsidP="004B148C">
      <w:r w:rsidRPr="004B148C">
        <w:rPr>
          <w:i/>
          <w:iCs/>
        </w:rPr>
        <w:t>Ingest the initial corpus of regulatory rulebooks and internal policies. Refine the vector database to ensure high-precision retrieval across various document formats. Configure RBAC and security protocols.</w:t>
      </w:r>
    </w:p>
    <w:p w14:paraId="074A39F8" w14:textId="77777777" w:rsidR="004B148C" w:rsidRPr="004B148C" w:rsidRDefault="004B148C" w:rsidP="004B148C">
      <w:r w:rsidRPr="004B148C">
        <w:rPr>
          <w:b/>
          <w:bCs/>
        </w:rPr>
        <w:t>Phase 3: Pilot and Model Tuning (Weeks 11-18):</w:t>
      </w:r>
    </w:p>
    <w:p w14:paraId="459E9E7C" w14:textId="77777777" w:rsidR="004B148C" w:rsidRPr="004B148C" w:rsidRDefault="004B148C" w:rsidP="004B148C">
      <w:r w:rsidRPr="004B148C">
        <w:rPr>
          <w:i/>
          <w:iCs/>
        </w:rPr>
        <w:t>Deploy the system to a selected group of compliance officers for a controlled pilot. Collect feedback on interpretation accuracy and citation relevance. Adjust the retrieval parameters and prompt templates based on expert feedback.</w:t>
      </w:r>
    </w:p>
    <w:p w14:paraId="7132C825" w14:textId="77777777" w:rsidR="004B148C" w:rsidRPr="004B148C" w:rsidRDefault="004B148C" w:rsidP="004B148C">
      <w:r w:rsidRPr="004B148C">
        <w:rPr>
          <w:b/>
          <w:bCs/>
        </w:rPr>
        <w:t>Phase 4: Full Deployment and Governance Handover (Weeks 19-24):</w:t>
      </w:r>
    </w:p>
    <w:p w14:paraId="4435301F" w14:textId="77777777" w:rsidR="004B148C" w:rsidRPr="004B148C" w:rsidRDefault="004B148C" w:rsidP="004B148C">
      <w:r w:rsidRPr="004B148C">
        <w:rPr>
          <w:i/>
          <w:iCs/>
        </w:rPr>
        <w:lastRenderedPageBreak/>
        <w:t>Roll out the solution to the broader compliance and legal departments. Conduct comprehensive user training and administrator certification. Perform a final security and governance audit before transitioning to steady-state operations.</w:t>
      </w:r>
    </w:p>
    <w:p w14:paraId="4783F8B1" w14:textId="77777777" w:rsidR="004B148C" w:rsidRPr="004B148C" w:rsidRDefault="004B148C" w:rsidP="004B148C">
      <w:r w:rsidRPr="004B148C">
        <w:pict w14:anchorId="12789FCB">
          <v:rect id="_x0000_i1085" style="width:0;height:1.5pt" o:hralign="center" o:hrstd="t" o:hrnoshade="t" o:hr="t" fillcolor="gray" stroked="f"/>
        </w:pict>
      </w:r>
    </w:p>
    <w:p w14:paraId="2CE87991" w14:textId="77777777" w:rsidR="004B148C" w:rsidRPr="004B148C" w:rsidRDefault="004B148C" w:rsidP="004B148C">
      <w:pPr>
        <w:rPr>
          <w:b/>
          <w:bCs/>
        </w:rPr>
      </w:pPr>
      <w:r w:rsidRPr="004B148C">
        <w:rPr>
          <w:b/>
          <w:bCs/>
        </w:rPr>
        <w:t>Risks, Assumptions, and Dependencies</w:t>
      </w:r>
    </w:p>
    <w:p w14:paraId="6D8C6C4A" w14:textId="77777777" w:rsidR="004B148C" w:rsidRPr="004B148C" w:rsidRDefault="004B148C" w:rsidP="004B148C">
      <w:r w:rsidRPr="004B148C">
        <w:t>The success of the IRA is dependent on several factors that must be managed throughout the project:</w:t>
      </w:r>
    </w:p>
    <w:p w14:paraId="3F235110" w14:textId="77777777" w:rsidR="004B148C" w:rsidRPr="004B148C" w:rsidRDefault="004B148C" w:rsidP="004B148C">
      <w:r w:rsidRPr="004B148C">
        <w:rPr>
          <w:b/>
          <w:bCs/>
        </w:rPr>
        <w:t>Data Quality and Digitization:</w:t>
      </w:r>
      <w:r w:rsidRPr="004B148C">
        <w:t xml:space="preserve"> The system assumes that source documents are available in machine-readable formats. Legacy documents that are poorly scanned or lack text layers may require OCR pre-processing, which can affect the accuracy of the indexing.</w:t>
      </w:r>
    </w:p>
    <w:p w14:paraId="48E9A828" w14:textId="77777777" w:rsidR="004B148C" w:rsidRPr="004B148C" w:rsidRDefault="004B148C" w:rsidP="004B148C">
      <w:r w:rsidRPr="004B148C">
        <w:rPr>
          <w:b/>
          <w:bCs/>
        </w:rPr>
        <w:t>Model Evolution:</w:t>
      </w:r>
      <w:r w:rsidRPr="004B148C">
        <w:t xml:space="preserve"> LLM capabilities evolve rapidly. The architecture is designed to be model-agnostic to allow for the future swapping of the underlying model without re-indexing the entire document corpus.</w:t>
      </w:r>
    </w:p>
    <w:p w14:paraId="46E4DC19" w14:textId="77777777" w:rsidR="004B148C" w:rsidRPr="004B148C" w:rsidRDefault="004B148C" w:rsidP="004B148C">
      <w:r w:rsidRPr="004B148C">
        <w:rPr>
          <w:b/>
          <w:bCs/>
        </w:rPr>
        <w:t>Regulatory Acceptance:</w:t>
      </w:r>
      <w:r w:rsidRPr="004B148C">
        <w:t xml:space="preserve"> While the tool assists in interpretation, regulatory bodies still hold the institution and its named officers responsible for compliance. The system must be viewed as a support tool, not a delegated authority.</w:t>
      </w:r>
    </w:p>
    <w:p w14:paraId="54DC958E" w14:textId="77777777" w:rsidR="004B148C" w:rsidRPr="004B148C" w:rsidRDefault="004B148C" w:rsidP="004B148C">
      <w:r w:rsidRPr="004B148C">
        <w:rPr>
          <w:b/>
          <w:bCs/>
        </w:rPr>
        <w:t>Availability of Subject Matter Experts:</w:t>
      </w:r>
      <w:r w:rsidRPr="004B148C">
        <w:t xml:space="preserve"> The "tuning" phase requires active participation from senior compliance staff to validate the accuracy of the AI's interpretations. Their availability is a critical dependency for a successful launch.</w:t>
      </w:r>
    </w:p>
    <w:p w14:paraId="2D6246B3" w14:textId="77777777" w:rsidR="004B148C" w:rsidRPr="004B148C" w:rsidRDefault="004B148C" w:rsidP="004B148C">
      <w:r w:rsidRPr="004B148C">
        <w:pict w14:anchorId="3896E897">
          <v:rect id="_x0000_i1086" style="width:0;height:1.5pt" o:hralign="center" o:hrstd="t" o:hrnoshade="t" o:hr="t" fillcolor="gray" stroked="f"/>
        </w:pict>
      </w:r>
    </w:p>
    <w:p w14:paraId="2E3EF9E6" w14:textId="77777777" w:rsidR="004B148C" w:rsidRPr="004B148C" w:rsidRDefault="004B148C" w:rsidP="004B148C">
      <w:pPr>
        <w:rPr>
          <w:b/>
          <w:bCs/>
        </w:rPr>
      </w:pPr>
      <w:r w:rsidRPr="004B148C">
        <w:rPr>
          <w:b/>
          <w:bCs/>
        </w:rPr>
        <w:t>Commercial Considerations</w:t>
      </w:r>
    </w:p>
    <w:p w14:paraId="4105C139" w14:textId="77777777" w:rsidR="004B148C" w:rsidRPr="004B148C" w:rsidRDefault="004B148C" w:rsidP="004B148C">
      <w:r w:rsidRPr="004B148C">
        <w:t>The commercial structure for this engagement is based on a professional services implementation fee followed by an ongoing enterprise licensing model. This structure ensures that the institution receives a bespoke, integrated solution while benefiting from continuous system updates and support.</w:t>
      </w:r>
    </w:p>
    <w:p w14:paraId="14D28B4A" w14:textId="77777777" w:rsidR="004B148C" w:rsidRPr="004B148C" w:rsidRDefault="004B148C" w:rsidP="004B148C">
      <w:r w:rsidRPr="004B148C">
        <w:t>The total investment includes the initial architectural design, the development of the RAG pipeline, and the integration of the citation engine. Ongoing costs cover the secure hosting of the private model instance, periodic re-indexing of new regulatory data, and technical support. A detailed breakdown of the fixed-price implementation and the recurring platform fees will be provided in the final contract.</w:t>
      </w:r>
    </w:p>
    <w:p w14:paraId="6C3658B7" w14:textId="77777777" w:rsidR="004B148C" w:rsidRPr="004B148C" w:rsidRDefault="004B148C" w:rsidP="004B148C">
      <w:r w:rsidRPr="004B148C">
        <w:pict w14:anchorId="1065CB64">
          <v:rect id="_x0000_i1087" style="width:0;height:1.5pt" o:hralign="center" o:hrstd="t" o:hrnoshade="t" o:hr="t" fillcolor="gray" stroked="f"/>
        </w:pict>
      </w:r>
    </w:p>
    <w:p w14:paraId="7BF66594" w14:textId="77777777" w:rsidR="004B148C" w:rsidRPr="004B148C" w:rsidRDefault="004B148C" w:rsidP="004B148C">
      <w:pPr>
        <w:rPr>
          <w:b/>
          <w:bCs/>
        </w:rPr>
      </w:pPr>
      <w:r w:rsidRPr="004B148C">
        <w:rPr>
          <w:b/>
          <w:bCs/>
        </w:rPr>
        <w:t>Next Steps</w:t>
      </w:r>
    </w:p>
    <w:p w14:paraId="36A3DDC5" w14:textId="77777777" w:rsidR="004B148C" w:rsidRPr="004B148C" w:rsidRDefault="004B148C" w:rsidP="004B148C">
      <w:r w:rsidRPr="004B148C">
        <w:t>To move forward with this proposal, we recommend the following immediate actions:</w:t>
      </w:r>
    </w:p>
    <w:p w14:paraId="477FA3E9" w14:textId="77777777" w:rsidR="004B148C" w:rsidRPr="004B148C" w:rsidRDefault="004B148C" w:rsidP="004B148C">
      <w:pPr>
        <w:numPr>
          <w:ilvl w:val="0"/>
          <w:numId w:val="1"/>
        </w:numPr>
      </w:pPr>
      <w:r w:rsidRPr="004B148C">
        <w:rPr>
          <w:b/>
          <w:bCs/>
        </w:rPr>
        <w:t>Stakeholder Review:</w:t>
      </w:r>
      <w:r w:rsidRPr="004B148C">
        <w:t xml:space="preserve"> Distribute this proposal to the Chief Compliance Officer, Chief Information Security Officer, and Legal Counsel for initial feedback.</w:t>
      </w:r>
    </w:p>
    <w:p w14:paraId="06BFF737" w14:textId="77777777" w:rsidR="004B148C" w:rsidRPr="004B148C" w:rsidRDefault="004B148C" w:rsidP="004B148C">
      <w:pPr>
        <w:numPr>
          <w:ilvl w:val="0"/>
          <w:numId w:val="1"/>
        </w:numPr>
      </w:pPr>
      <w:r w:rsidRPr="004B148C">
        <w:rPr>
          <w:b/>
          <w:bCs/>
        </w:rPr>
        <w:t>Scoping Workshop:</w:t>
      </w:r>
      <w:r w:rsidRPr="004B148C">
        <w:t xml:space="preserve"> Schedule a technical deep-dive session to identify the specific document repositories (e.g., SharePoint, Documentum) that will serve as the initial data sources.</w:t>
      </w:r>
    </w:p>
    <w:p w14:paraId="0D7BBD18" w14:textId="77777777" w:rsidR="004B148C" w:rsidRPr="004B148C" w:rsidRDefault="004B148C" w:rsidP="004B148C">
      <w:pPr>
        <w:numPr>
          <w:ilvl w:val="0"/>
          <w:numId w:val="1"/>
        </w:numPr>
      </w:pPr>
      <w:r w:rsidRPr="004B148C">
        <w:rPr>
          <w:b/>
          <w:bCs/>
        </w:rPr>
        <w:lastRenderedPageBreak/>
        <w:t>Proof of Concept (PoC) Agreement:</w:t>
      </w:r>
      <w:r w:rsidRPr="004B148C">
        <w:t xml:space="preserve"> Execute a limited-scope PoC focusing on a single regulatory domain (e.g., Anti-Money Laundering or Data Privacy) to demonstrate the accuracy of the retrieval and citation engine within the organization's environment.</w:t>
      </w:r>
    </w:p>
    <w:p w14:paraId="50886100" w14:textId="77777777" w:rsidR="00AE3DD0" w:rsidRDefault="00AE3DD0"/>
    <w:sectPr w:rsidR="00AE3D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D248E"/>
    <w:multiLevelType w:val="multilevel"/>
    <w:tmpl w:val="17266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391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48C"/>
    <w:rsid w:val="004B148C"/>
    <w:rsid w:val="00AE3DD0"/>
    <w:rsid w:val="00B945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99F62"/>
  <w15:chartTrackingRefBased/>
  <w15:docId w15:val="{BF3C9E24-9B19-4407-A2E3-9136B2BB6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14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14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14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14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4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4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4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4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4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4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14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14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14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4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4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4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4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48C"/>
    <w:rPr>
      <w:rFonts w:eastAsiaTheme="majorEastAsia" w:cstheme="majorBidi"/>
      <w:color w:val="272727" w:themeColor="text1" w:themeTint="D8"/>
    </w:rPr>
  </w:style>
  <w:style w:type="paragraph" w:styleId="Title">
    <w:name w:val="Title"/>
    <w:basedOn w:val="Normal"/>
    <w:next w:val="Normal"/>
    <w:link w:val="TitleChar"/>
    <w:uiPriority w:val="10"/>
    <w:qFormat/>
    <w:rsid w:val="004B14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14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14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14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148C"/>
    <w:pPr>
      <w:spacing w:before="160"/>
      <w:jc w:val="center"/>
    </w:pPr>
    <w:rPr>
      <w:i/>
      <w:iCs/>
      <w:color w:val="404040" w:themeColor="text1" w:themeTint="BF"/>
    </w:rPr>
  </w:style>
  <w:style w:type="character" w:customStyle="1" w:styleId="QuoteChar">
    <w:name w:val="Quote Char"/>
    <w:basedOn w:val="DefaultParagraphFont"/>
    <w:link w:val="Quote"/>
    <w:uiPriority w:val="29"/>
    <w:rsid w:val="004B148C"/>
    <w:rPr>
      <w:i/>
      <w:iCs/>
      <w:color w:val="404040" w:themeColor="text1" w:themeTint="BF"/>
    </w:rPr>
  </w:style>
  <w:style w:type="paragraph" w:styleId="ListParagraph">
    <w:name w:val="List Paragraph"/>
    <w:basedOn w:val="Normal"/>
    <w:uiPriority w:val="34"/>
    <w:qFormat/>
    <w:rsid w:val="004B148C"/>
    <w:pPr>
      <w:ind w:left="720"/>
      <w:contextualSpacing/>
    </w:pPr>
  </w:style>
  <w:style w:type="character" w:styleId="IntenseEmphasis">
    <w:name w:val="Intense Emphasis"/>
    <w:basedOn w:val="DefaultParagraphFont"/>
    <w:uiPriority w:val="21"/>
    <w:qFormat/>
    <w:rsid w:val="004B148C"/>
    <w:rPr>
      <w:i/>
      <w:iCs/>
      <w:color w:val="2F5496" w:themeColor="accent1" w:themeShade="BF"/>
    </w:rPr>
  </w:style>
  <w:style w:type="paragraph" w:styleId="IntenseQuote">
    <w:name w:val="Intense Quote"/>
    <w:basedOn w:val="Normal"/>
    <w:next w:val="Normal"/>
    <w:link w:val="IntenseQuoteChar"/>
    <w:uiPriority w:val="30"/>
    <w:qFormat/>
    <w:rsid w:val="004B14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48C"/>
    <w:rPr>
      <w:i/>
      <w:iCs/>
      <w:color w:val="2F5496" w:themeColor="accent1" w:themeShade="BF"/>
    </w:rPr>
  </w:style>
  <w:style w:type="character" w:styleId="IntenseReference">
    <w:name w:val="Intense Reference"/>
    <w:basedOn w:val="DefaultParagraphFont"/>
    <w:uiPriority w:val="32"/>
    <w:qFormat/>
    <w:rsid w:val="004B14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1667</Words>
  <Characters>9507</Characters>
  <Application>Microsoft Office Word</Application>
  <DocSecurity>0</DocSecurity>
  <Lines>79</Lines>
  <Paragraphs>22</Paragraphs>
  <ScaleCrop>false</ScaleCrop>
  <Company/>
  <LinksUpToDate>false</LinksUpToDate>
  <CharactersWithSpaces>11152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 Srivatsav R</dc:creator>
  <cp:keywords/>
  <dc:description/>
  <cp:lastModifiedBy>Siddhart Srivatsav R</cp:lastModifiedBy>
  <cp:revision>1</cp:revision>
  <dcterms:created xsi:type="dcterms:W3CDTF">2026-04-01T20:27:00Z</dcterms:created>
  <dcterms:modified xsi:type="dcterms:W3CDTF">2026-04-01T20:27:00Z</dcterms:modified>
</cp:coreProperties>
</file>