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left"/>
      </w:pPr>
      <w:r>
        <w:rPr>
          <w:rFonts w:ascii="Arial" w:cs="Arial" w:eastAsia="Arial" w:hAnsi="Arial"/>
          <w:b/>
          <w:bCs/>
          <w:color w:val="1F3864"/>
          <w:sz w:val="52"/>
          <w:szCs w:val="52"/>
        </w:rPr>
        <w:t xml:space="preserve">AI-Powered Customer Support</w:t>
      </w:r>
    </w:p>
    <w:p>
      <w:pPr>
        <w:spacing w:after="200" w:before="0"/>
        <w:jc w:val="left"/>
      </w:pPr>
      <w:r>
        <w:rPr>
          <w:rFonts w:ascii="Arial" w:cs="Arial" w:eastAsia="Arial" w:hAnsi="Arial"/>
          <w:b/>
          <w:bCs/>
          <w:color w:val="1F3864"/>
          <w:sz w:val="52"/>
          <w:szCs w:val="52"/>
        </w:rPr>
        <w:t xml:space="preserve">Copilot for Banking Contact Centres</w:t>
      </w:r>
    </w:p>
    <w:p>
      <w:pPr>
        <w:pBdr>
          <w:bottom w:val="single" w:color="2E5FAC" w:sz="12" w:space="1"/>
        </w:pBdr>
        <w:spacing w:after="200" w:before="200"/>
      </w:pPr>
      <w:r>
        <w:rPr>
          <w:rFonts w:ascii="Arial" w:cs="Arial" w:eastAsia="Arial" w:hAnsi="Arial"/>
        </w:rPr>
        <w:t xml:space="preserve"/>
      </w:r>
    </w:p>
    <w:p>
      <w:pPr>
        <w:spacing w:after="100" w:before="0"/>
        <w:jc w:val="left"/>
      </w:pPr>
      <w:r>
        <w:rPr>
          <w:rFonts w:ascii="Arial" w:cs="Arial" w:eastAsia="Arial" w:hAnsi="Arial"/>
          <w:i/>
          <w:iCs/>
          <w:color w:val="2E5FAC"/>
          <w:sz w:val="28"/>
          <w:szCs w:val="28"/>
        </w:rPr>
        <w:t xml:space="preserve">Enterprise Solution Proposal</w:t>
      </w:r>
    </w:p>
    <w:p>
      <w:pPr>
        <w:spacing w:after="60" w:before="60"/>
      </w:pPr>
      <w:r>
        <w:t xml:space="preserve"/>
      </w:r>
    </w:p>
    <w:p>
      <w:pPr>
        <w:spacing w:after="40" w:before="40"/>
        <w:jc w:val="left"/>
      </w:pPr>
      <w:r>
        <w:rPr>
          <w:rFonts w:ascii="Arial" w:cs="Arial" w:eastAsia="Arial" w:hAnsi="Arial"/>
          <w:color w:val="595959"/>
          <w:sz w:val="22"/>
          <w:szCs w:val="22"/>
        </w:rPr>
        <w:t xml:space="preserve">Prepared for: [Client Institution Name]</w:t>
      </w:r>
    </w:p>
    <w:p>
      <w:pPr>
        <w:spacing w:after="40" w:before="40"/>
        <w:jc w:val="left"/>
      </w:pPr>
      <w:r>
        <w:rPr>
          <w:rFonts w:ascii="Arial" w:cs="Arial" w:eastAsia="Arial" w:hAnsi="Arial"/>
          <w:color w:val="595959"/>
          <w:sz w:val="22"/>
          <w:szCs w:val="22"/>
        </w:rPr>
        <w:t xml:space="preserve">Prepared by: Enterprise Solutions Practice</w:t>
      </w:r>
    </w:p>
    <w:p>
      <w:pPr>
        <w:spacing w:after="40" w:before="40"/>
        <w:jc w:val="left"/>
      </w:pPr>
      <w:r>
        <w:rPr>
          <w:rFonts w:ascii="Arial" w:cs="Arial" w:eastAsia="Arial" w:hAnsi="Arial"/>
          <w:color w:val="595959"/>
          <w:sz w:val="22"/>
          <w:szCs w:val="22"/>
        </w:rPr>
        <w:t xml:space="preserve">Date: April 2025</w:t>
      </w:r>
    </w:p>
    <w:p>
      <w:pPr>
        <w:spacing w:after="40" w:before="40"/>
        <w:jc w:val="left"/>
      </w:pPr>
      <w:r>
        <w:rPr>
          <w:rFonts w:ascii="Arial" w:cs="Arial" w:eastAsia="Arial" w:hAnsi="Arial"/>
          <w:color w:val="595959"/>
          <w:sz w:val="22"/>
          <w:szCs w:val="22"/>
        </w:rPr>
        <w:t xml:space="preserve">Classification: Confidential</w:t>
      </w:r>
    </w:p>
    <w:p>
      <w:pPr>
        <w:spacing w:after="40" w:before="40"/>
        <w:jc w:val="left"/>
      </w:pPr>
      <w:r>
        <w:rPr>
          <w:rFonts w:ascii="Arial" w:cs="Arial" w:eastAsia="Arial" w:hAnsi="Arial"/>
          <w:color w:val="595959"/>
          <w:sz w:val="22"/>
          <w:szCs w:val="22"/>
        </w:rPr>
        <w:t xml:space="preserve">Version: 1.0</w:t>
      </w:r>
    </w:p>
    <w:p>
      <w:pPr>
        <w:spacing w:after="0" w:before="0"/>
      </w:pPr>
      <w:r>
        <w:br/>
      </w:r>
    </w:p>
    <w:p>
      <w:pPr>
        <w:pStyle w:val="Heading1"/>
        <w:pBdr>
          <w:bottom w:val="single" w:color="2E5FAC" w:sz="6" w:space="4"/>
        </w:pBdr>
        <w:spacing w:after="160" w:before="360"/>
      </w:pPr>
      <w:r>
        <w:rPr>
          <w:rFonts w:ascii="Arial" w:cs="Arial" w:eastAsia="Arial" w:hAnsi="Arial"/>
          <w:b/>
          <w:bCs/>
          <w:color w:val="1F3864"/>
          <w:sz w:val="28"/>
          <w:szCs w:val="28"/>
        </w:rPr>
        <w:t xml:space="preserve">1. Executive Summary</w:t>
      </w:r>
    </w:p>
    <w:p>
      <w:pPr>
        <w:spacing w:after="120" w:before="80"/>
        <w:jc w:val="both"/>
      </w:pPr>
      <w:r>
        <w:rPr>
          <w:rFonts w:ascii="Arial" w:cs="Arial" w:eastAsia="Arial" w:hAnsi="Arial"/>
          <w:color w:val="000000"/>
          <w:sz w:val="22"/>
          <w:szCs w:val="22"/>
        </w:rPr>
        <w:t xml:space="preserve">This proposal sets out a framework for deploying an AI-assisted copilot system within the contact centre operations of a retail or commercial banking institution. The system is designed to support human agents during live customer interactions by surfacing relevant information, suggesting contextually appropriate responses, and reducing the cognitive burden associated with navigating fragmented knowledge environments.</w:t>
      </w:r>
    </w:p>
    <w:p>
      <w:pPr>
        <w:spacing w:after="120" w:before="80"/>
        <w:jc w:val="both"/>
      </w:pPr>
      <w:r>
        <w:rPr>
          <w:rFonts w:ascii="Arial" w:cs="Arial" w:eastAsia="Arial" w:hAnsi="Arial"/>
          <w:color w:val="000000"/>
          <w:sz w:val="22"/>
          <w:szCs w:val="22"/>
        </w:rPr>
        <w:t xml:space="preserve">The solution is positioned explicitly as an agent-assistance tool, not an autonomous decision-making system. All customer-facing communication remains under the control of trained agents, with the AI functioning as an intelligent, in-session assistant. This architecture reflects the regulatory expectations and internal governance standards appropriate to a financial services environment.</w:t>
      </w:r>
    </w:p>
    <w:p>
      <w:pPr>
        <w:spacing w:after="120" w:before="80"/>
        <w:jc w:val="both"/>
      </w:pPr>
      <w:r>
        <w:rPr>
          <w:rFonts w:ascii="Arial" w:cs="Arial" w:eastAsia="Arial" w:hAnsi="Arial"/>
          <w:color w:val="000000"/>
          <w:sz w:val="22"/>
          <w:szCs w:val="22"/>
        </w:rPr>
        <w:t xml:space="preserve">The proposal covers functional scope, system architecture, security and compliance considerations, a phased implementation approach, and the commercial and risk dimensions relevant to a procurement decision.</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2. Business Context</w:t>
      </w:r>
    </w:p>
    <w:p>
      <w:pPr>
        <w:spacing w:after="120" w:before="80"/>
        <w:jc w:val="both"/>
      </w:pPr>
      <w:r>
        <w:rPr>
          <w:rFonts w:ascii="Arial" w:cs="Arial" w:eastAsia="Arial" w:hAnsi="Arial"/>
          <w:color w:val="000000"/>
          <w:sz w:val="22"/>
          <w:szCs w:val="22"/>
        </w:rPr>
        <w:t xml:space="preserve">Banking contact centres operate under a set of pressures that are structurally distinct from other service environments. Agents are expected to handle a broad and technically complex range of enquiries — spanning account management, lending queries, dispute resolution, fraud notifications, and product guidance — while maintaining accuracy, regulatory compliance, and service quality in real time.</w:t>
      </w:r>
    </w:p>
    <w:p>
      <w:pPr>
        <w:spacing w:after="120" w:before="80"/>
        <w:jc w:val="both"/>
      </w:pPr>
      <w:r>
        <w:rPr>
          <w:rFonts w:ascii="Arial" w:cs="Arial" w:eastAsia="Arial" w:hAnsi="Arial"/>
          <w:color w:val="000000"/>
          <w:sz w:val="22"/>
          <w:szCs w:val="22"/>
        </w:rPr>
        <w:t xml:space="preserve">Several operational challenges are consistently observed across institutions of varying scale:</w:t>
      </w:r>
    </w:p>
    <w:p>
      <w:pPr>
        <w:spacing w:after="120" w:before="80"/>
        <w:jc w:val="both"/>
      </w:pPr>
      <w:r>
        <w:rPr>
          <w:rFonts w:ascii="Arial" w:cs="Arial" w:eastAsia="Arial" w:hAnsi="Arial"/>
          <w:b/>
          <w:bCs/>
          <w:color w:val="1F3864"/>
          <w:sz w:val="22"/>
          <w:szCs w:val="22"/>
        </w:rPr>
        <w:t xml:space="preserve">Fragmented knowledge systems. </w:t>
      </w:r>
      <w:r>
        <w:rPr>
          <w:rFonts w:ascii="Arial" w:cs="Arial" w:eastAsia="Arial" w:hAnsi="Arial"/>
          <w:color w:val="000000"/>
          <w:sz w:val="22"/>
          <w:szCs w:val="22"/>
        </w:rPr>
        <w:t xml:space="preserve">Product documentation, procedural guidance, compliance materials, and regulatory disclosures are typically held across multiple repositories — intranets, shared drives, case management platforms, and legacy knowledge bases — none of which are natively integrated into the agent workflow. Agents must context-switch between systems mid-conversation, introducing latency and error risk.</w:t>
      </w:r>
    </w:p>
    <w:p>
      <w:pPr>
        <w:spacing w:after="120" w:before="80"/>
        <w:jc w:val="both"/>
      </w:pPr>
      <w:r>
        <w:rPr>
          <w:rFonts w:ascii="Arial" w:cs="Arial" w:eastAsia="Arial" w:hAnsi="Arial"/>
          <w:b/>
          <w:bCs/>
          <w:color w:val="1F3864"/>
          <w:sz w:val="22"/>
          <w:szCs w:val="22"/>
        </w:rPr>
        <w:t xml:space="preserve">Slow and inconsistent response retrieval. </w:t>
      </w:r>
      <w:r>
        <w:rPr>
          <w:rFonts w:ascii="Arial" w:cs="Arial" w:eastAsia="Arial" w:hAnsi="Arial"/>
          <w:color w:val="000000"/>
          <w:sz w:val="22"/>
          <w:szCs w:val="22"/>
        </w:rPr>
        <w:t xml:space="preserve">Even where knowledge bases exist, retrieval is often dependent on keyword search that does not account for intent or context. Agents with less tenure rely on supervisors or callbacks to resolve queries that experienced colleagues handle fluently, creating uneven service levels across the team.</w:t>
      </w:r>
    </w:p>
    <w:p>
      <w:pPr>
        <w:spacing w:after="120" w:before="80"/>
        <w:jc w:val="both"/>
      </w:pPr>
      <w:r>
        <w:rPr>
          <w:rFonts w:ascii="Arial" w:cs="Arial" w:eastAsia="Arial" w:hAnsi="Arial"/>
          <w:b/>
          <w:bCs/>
          <w:color w:val="1F3864"/>
          <w:sz w:val="22"/>
          <w:szCs w:val="22"/>
        </w:rPr>
        <w:t xml:space="preserve">Inconsistent answer quality. </w:t>
      </w:r>
      <w:r>
        <w:rPr>
          <w:rFonts w:ascii="Arial" w:cs="Arial" w:eastAsia="Arial" w:hAnsi="Arial"/>
          <w:color w:val="000000"/>
          <w:sz w:val="22"/>
          <w:szCs w:val="22"/>
        </w:rPr>
        <w:t xml:space="preserve">Without a single, authoritative source of guidance surfaced in context, the same customer query may be answered differently depending on the agent, their experience level, or the version of documentation they happen to locate. In a regulated environment, this inconsistency carries compliance risk.</w:t>
      </w:r>
    </w:p>
    <w:p>
      <w:pPr>
        <w:spacing w:after="120" w:before="80"/>
        <w:jc w:val="both"/>
      </w:pPr>
      <w:r>
        <w:rPr>
          <w:rFonts w:ascii="Arial" w:cs="Arial" w:eastAsia="Arial" w:hAnsi="Arial"/>
          <w:b/>
          <w:bCs/>
          <w:color w:val="1F3864"/>
          <w:sz w:val="22"/>
          <w:szCs w:val="22"/>
        </w:rPr>
        <w:t xml:space="preserve">High training cost and long time-to-competency. </w:t>
      </w:r>
      <w:r>
        <w:rPr>
          <w:rFonts w:ascii="Arial" w:cs="Arial" w:eastAsia="Arial" w:hAnsi="Arial"/>
          <w:color w:val="000000"/>
          <w:sz w:val="22"/>
          <w:szCs w:val="22"/>
        </w:rPr>
        <w:t xml:space="preserve">New agent onboarding in financial services is resource-intensive. The breadth of product and procedural knowledge required to handle complex enquiries independently typically takes months to develop. High attrition rates compound this challenge, making institutional knowledge difficult to retain and transfer systematically.</w:t>
      </w:r>
    </w:p>
    <w:p>
      <w:pPr>
        <w:spacing w:after="120" w:before="80"/>
        <w:jc w:val="both"/>
      </w:pPr>
      <w:r>
        <w:rPr>
          <w:rFonts w:ascii="Arial" w:cs="Arial" w:eastAsia="Arial" w:hAnsi="Arial"/>
          <w:color w:val="000000"/>
          <w:sz w:val="22"/>
          <w:szCs w:val="22"/>
        </w:rPr>
        <w:t xml:space="preserve">These challenges have material impact on operational cost, customer satisfaction, and the institution's ability to manage regulatory risk at scale. The proposed solution addresses each of these dimensions through a structured, governed AI assistance layer integrated into the existing contact centre workflow.</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3. Proposed Solution Overview</w:t>
      </w:r>
    </w:p>
    <w:p>
      <w:pPr>
        <w:spacing w:after="120" w:before="80"/>
        <w:jc w:val="both"/>
      </w:pPr>
      <w:r>
        <w:rPr>
          <w:rFonts w:ascii="Arial" w:cs="Arial" w:eastAsia="Arial" w:hAnsi="Arial"/>
          <w:color w:val="000000"/>
          <w:sz w:val="22"/>
          <w:szCs w:val="22"/>
        </w:rPr>
        <w:t xml:space="preserve">The proposed solution is an AI-powered copilot system that operates within the agent desktop environment during live customer interactions. It is designed to augment agent capability without removing human judgement from the process. The system connects to the institution's internal knowledge repositories, monitors the context of the active conversation, and provides agents with real-time suggestions, relevant documentation references, and draft response text that can be reviewed, edited, and sent at the agent's discretion.</w:t>
      </w:r>
    </w:p>
    <w:p>
      <w:pPr>
        <w:spacing w:after="120" w:before="80"/>
        <w:jc w:val="both"/>
      </w:pPr>
      <w:r>
        <w:rPr>
          <w:rFonts w:ascii="Arial" w:cs="Arial" w:eastAsia="Arial" w:hAnsi="Arial"/>
          <w:color w:val="000000"/>
          <w:sz w:val="22"/>
          <w:szCs w:val="22"/>
        </w:rPr>
        <w:t xml:space="preserve">The system operates in an advisory capacity. No response is transmitted to the customer without explicit agent review and confirmation. The copilot does not interact directly with customers, does not make credit or account decisions, and does not modify any system of record without an authorised agent action.</w:t>
      </w:r>
    </w:p>
    <w:p>
      <w:pPr>
        <w:spacing w:after="120" w:before="80"/>
        <w:jc w:val="both"/>
      </w:pPr>
      <w:r>
        <w:rPr>
          <w:rFonts w:ascii="Arial" w:cs="Arial" w:eastAsia="Arial" w:hAnsi="Arial"/>
          <w:color w:val="000000"/>
          <w:sz w:val="22"/>
          <w:szCs w:val="22"/>
        </w:rPr>
        <w:t xml:space="preserve">The solution is intended to be implemented progressively, beginning with a controlled pilot across a defined agent cohort before broader rollout. This approach allows the institution to validate performance, calibrate system behaviour, and address integration dependencies in a managed sequence.</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4. Functional Scope and Key Capabilities</w:t>
      </w:r>
    </w:p>
    <w:p>
      <w:pPr>
        <w:pStyle w:val="Heading2"/>
        <w:spacing w:after="100" w:before="240"/>
      </w:pPr>
      <w:r>
        <w:rPr>
          <w:rFonts w:ascii="Arial" w:cs="Arial" w:eastAsia="Arial" w:hAnsi="Arial"/>
          <w:b/>
          <w:bCs/>
          <w:color w:val="2E5FAC"/>
          <w:sz w:val="24"/>
          <w:szCs w:val="24"/>
        </w:rPr>
        <w:t xml:space="preserve">Real-Time Contextual Assistance</w:t>
      </w:r>
    </w:p>
    <w:p>
      <w:pPr>
        <w:spacing w:after="120" w:before="80"/>
        <w:jc w:val="both"/>
      </w:pPr>
      <w:r>
        <w:rPr>
          <w:rFonts w:ascii="Arial" w:cs="Arial" w:eastAsia="Arial" w:hAnsi="Arial"/>
          <w:color w:val="000000"/>
          <w:sz w:val="22"/>
          <w:szCs w:val="22"/>
        </w:rPr>
        <w:t xml:space="preserve">During an active conversation, the copilot analyses the customer query — whether received via voice-to-text transcription or digital messaging — and identifies the topic and intent. It then retrieves relevant content from connected knowledge repositories and presents a ranked summary to the agent within the desktop interface. The agent retains control over which information to use and how to apply it.</w:t>
      </w:r>
    </w:p>
    <w:p>
      <w:pPr>
        <w:pStyle w:val="Heading2"/>
        <w:spacing w:after="100" w:before="240"/>
      </w:pPr>
      <w:r>
        <w:rPr>
          <w:rFonts w:ascii="Arial" w:cs="Arial" w:eastAsia="Arial" w:hAnsi="Arial"/>
          <w:b/>
          <w:bCs/>
          <w:color w:val="2E5FAC"/>
          <w:sz w:val="24"/>
          <w:szCs w:val="24"/>
        </w:rPr>
        <w:t xml:space="preserve">Suggested Response Generation</w:t>
      </w:r>
    </w:p>
    <w:p>
      <w:pPr>
        <w:spacing w:after="120" w:before="80"/>
        <w:jc w:val="both"/>
      </w:pPr>
      <w:r>
        <w:rPr>
          <w:rFonts w:ascii="Arial" w:cs="Arial" w:eastAsia="Arial" w:hAnsi="Arial"/>
          <w:color w:val="000000"/>
          <w:sz w:val="22"/>
          <w:szCs w:val="22"/>
        </w:rPr>
        <w:t xml:space="preserve">Where the system identifies a well-defined customer intent, it may generate a draft response for the agent's review. This draft is presented as a suggestion, not a default action. Agents may accept, modify, or discard any suggestion. The generation process is governed by templates and guardrails appropriate to the institution's communication standards and regulatory obligations, including required disclosures.</w:t>
      </w:r>
    </w:p>
    <w:p>
      <w:pPr>
        <w:pStyle w:val="Heading2"/>
        <w:spacing w:after="100" w:before="240"/>
      </w:pPr>
      <w:r>
        <w:rPr>
          <w:rFonts w:ascii="Arial" w:cs="Arial" w:eastAsia="Arial" w:hAnsi="Arial"/>
          <w:b/>
          <w:bCs/>
          <w:color w:val="2E5FAC"/>
          <w:sz w:val="24"/>
          <w:szCs w:val="24"/>
        </w:rPr>
        <w:t xml:space="preserve">Knowledge Retrieval and Traceability</w:t>
      </w:r>
    </w:p>
    <w:p>
      <w:pPr>
        <w:spacing w:after="120" w:before="80"/>
        <w:jc w:val="both"/>
      </w:pPr>
      <w:r>
        <w:rPr>
          <w:rFonts w:ascii="Arial" w:cs="Arial" w:eastAsia="Arial" w:hAnsi="Arial"/>
          <w:color w:val="000000"/>
          <w:sz w:val="22"/>
          <w:szCs w:val="22"/>
        </w:rPr>
        <w:t xml:space="preserve">Each suggestion surfaced by the copilot is traceable to its source document, enabling agents to verify the basis of the information and present it with appropriate context. The system maintains a retrievable audit log of suggestions made, agent actions taken, and the final content transmitted, which supports post-interaction quality review.</w:t>
      </w:r>
    </w:p>
    <w:p>
      <w:pPr>
        <w:pStyle w:val="Heading2"/>
        <w:spacing w:after="100" w:before="240"/>
      </w:pPr>
      <w:r>
        <w:rPr>
          <w:rFonts w:ascii="Arial" w:cs="Arial" w:eastAsia="Arial" w:hAnsi="Arial"/>
          <w:b/>
          <w:bCs/>
          <w:color w:val="2E5FAC"/>
          <w:sz w:val="24"/>
          <w:szCs w:val="24"/>
        </w:rPr>
        <w:t xml:space="preserve">Escalation and Flagging</w:t>
      </w:r>
    </w:p>
    <w:p>
      <w:pPr>
        <w:spacing w:after="120" w:before="80"/>
        <w:jc w:val="both"/>
      </w:pPr>
      <w:r>
        <w:rPr>
          <w:rFonts w:ascii="Arial" w:cs="Arial" w:eastAsia="Arial" w:hAnsi="Arial"/>
          <w:color w:val="000000"/>
          <w:sz w:val="22"/>
          <w:szCs w:val="22"/>
        </w:rPr>
        <w:t xml:space="preserve">Where a query falls outside the defined scope of the copilot's knowledge base, or where the system's confidence in a suggested response falls below a defined threshold, the system is configured to flag the interaction for supervisor review or to prompt the agent to follow a manual resolution path. This fallback behaviour is a core design requirement, not an optional feature.</w:t>
      </w:r>
    </w:p>
    <w:p>
      <w:pPr>
        <w:pStyle w:val="Heading2"/>
        <w:spacing w:after="100" w:before="240"/>
      </w:pPr>
      <w:r>
        <w:rPr>
          <w:rFonts w:ascii="Arial" w:cs="Arial" w:eastAsia="Arial" w:hAnsi="Arial"/>
          <w:b/>
          <w:bCs/>
          <w:color w:val="2E5FAC"/>
          <w:sz w:val="24"/>
          <w:szCs w:val="24"/>
        </w:rPr>
        <w:t xml:space="preserve">Agent Performance and Coaching Support</w:t>
      </w:r>
    </w:p>
    <w:p>
      <w:pPr>
        <w:spacing w:after="120" w:before="80"/>
        <w:jc w:val="both"/>
      </w:pPr>
      <w:r>
        <w:rPr>
          <w:rFonts w:ascii="Arial" w:cs="Arial" w:eastAsia="Arial" w:hAnsi="Arial"/>
          <w:color w:val="000000"/>
          <w:sz w:val="22"/>
          <w:szCs w:val="22"/>
        </w:rPr>
        <w:t xml:space="preserve">Interaction data captured by the copilot can be made available to team leaders for coaching and quality assurance purposes, subject to appropriate access controls. This provides a structured basis for identifying training needs and recognising effective agent behaviours without requiring manual review of every call.</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5. Approach and Architecture</w:t>
      </w:r>
    </w:p>
    <w:p>
      <w:pPr>
        <w:spacing w:after="120" w:before="80"/>
        <w:jc w:val="both"/>
      </w:pPr>
      <w:r>
        <w:rPr>
          <w:rFonts w:ascii="Arial" w:cs="Arial" w:eastAsia="Arial" w:hAnsi="Arial"/>
          <w:color w:val="000000"/>
          <w:sz w:val="22"/>
          <w:szCs w:val="22"/>
        </w:rPr>
        <w:t xml:space="preserve">The architecture follows a human-in-the-loop model in which the AI system operates as a background service, integrated into the agent desktop via a dedicated interface panel or embedded component within the existing CRM or contact centre platform.</w:t>
      </w:r>
    </w:p>
    <w:p>
      <w:pPr>
        <w:spacing w:after="120" w:before="80"/>
        <w:jc w:val="both"/>
      </w:pPr>
      <w:r>
        <w:rPr>
          <w:rFonts w:ascii="Arial" w:cs="Arial" w:eastAsia="Arial" w:hAnsi="Arial"/>
          <w:b/>
          <w:bCs/>
          <w:color w:val="1F3864"/>
          <w:sz w:val="22"/>
          <w:szCs w:val="22"/>
        </w:rPr>
        <w:t xml:space="preserve">Conversation capture layer. </w:t>
      </w:r>
      <w:r>
        <w:rPr>
          <w:rFonts w:ascii="Arial" w:cs="Arial" w:eastAsia="Arial" w:hAnsi="Arial"/>
          <w:color w:val="000000"/>
          <w:sz w:val="22"/>
          <w:szCs w:val="22"/>
        </w:rPr>
        <w:t xml:space="preserve">For voice interactions, a speech-to-text service transcribes the conversation in near real time. For digital channels, the customer message text is passed directly. In both cases, the capture layer operates with appropriate consent notices in place and in accordance with the institution's data handling obligations.</w:t>
      </w:r>
    </w:p>
    <w:p>
      <w:pPr>
        <w:spacing w:after="120" w:before="80"/>
        <w:jc w:val="both"/>
      </w:pPr>
      <w:r>
        <w:rPr>
          <w:rFonts w:ascii="Arial" w:cs="Arial" w:eastAsia="Arial" w:hAnsi="Arial"/>
          <w:b/>
          <w:bCs/>
          <w:color w:val="1F3864"/>
          <w:sz w:val="22"/>
          <w:szCs w:val="22"/>
        </w:rPr>
        <w:t xml:space="preserve">Intent and context engine. </w:t>
      </w:r>
      <w:r>
        <w:rPr>
          <w:rFonts w:ascii="Arial" w:cs="Arial" w:eastAsia="Arial" w:hAnsi="Arial"/>
          <w:color w:val="000000"/>
          <w:sz w:val="22"/>
          <w:szCs w:val="22"/>
        </w:rPr>
        <w:t xml:space="preserve">The transcribed or received input is passed to a natural language processing component that identifies the topic, customer intent, and any relevant entities (such as product names, account types, or transaction references). This output forms the basis for knowledge retrieval and response suggestion.</w:t>
      </w:r>
    </w:p>
    <w:p>
      <w:pPr>
        <w:spacing w:after="120" w:before="80"/>
        <w:jc w:val="both"/>
      </w:pPr>
      <w:r>
        <w:rPr>
          <w:rFonts w:ascii="Arial" w:cs="Arial" w:eastAsia="Arial" w:hAnsi="Arial"/>
          <w:b/>
          <w:bCs/>
          <w:color w:val="1F3864"/>
          <w:sz w:val="22"/>
          <w:szCs w:val="22"/>
        </w:rPr>
        <w:t xml:space="preserve">Knowledge retrieval layer. </w:t>
      </w:r>
      <w:r>
        <w:rPr>
          <w:rFonts w:ascii="Arial" w:cs="Arial" w:eastAsia="Arial" w:hAnsi="Arial"/>
          <w:color w:val="000000"/>
          <w:sz w:val="22"/>
          <w:szCs w:val="22"/>
        </w:rPr>
        <w:t xml:space="preserve">The system connects to authorised internal repositories — which may include the product knowledge base, procedural guides, regulatory disclosures, and FAQs — through a controlled API or indexing mechanism. Retrieval is semantic rather than keyword-based, improving the relevance of returned content, particularly for complex or ambiguously phrased queries.</w:t>
      </w:r>
    </w:p>
    <w:p>
      <w:pPr>
        <w:spacing w:after="120" w:before="80"/>
        <w:jc w:val="both"/>
      </w:pPr>
      <w:r>
        <w:rPr>
          <w:rFonts w:ascii="Arial" w:cs="Arial" w:eastAsia="Arial" w:hAnsi="Arial"/>
          <w:b/>
          <w:bCs/>
          <w:color w:val="1F3864"/>
          <w:sz w:val="22"/>
          <w:szCs w:val="22"/>
        </w:rPr>
        <w:t xml:space="preserve">Response generation and guardrails. </w:t>
      </w:r>
      <w:r>
        <w:rPr>
          <w:rFonts w:ascii="Arial" w:cs="Arial" w:eastAsia="Arial" w:hAnsi="Arial"/>
          <w:color w:val="000000"/>
          <w:sz w:val="22"/>
          <w:szCs w:val="22"/>
        </w:rPr>
        <w:t xml:space="preserve">Where a suggested response is generated, it passes through a set of pre-configured filters and rules that enforce communication standards, flag potentially sensitive language, and ensure required disclosures are included where applicable. The final suggestion is presented to the agent with the relevant source references visible.</w:t>
      </w:r>
    </w:p>
    <w:p>
      <w:pPr>
        <w:spacing w:after="120" w:before="80"/>
        <w:jc w:val="both"/>
      </w:pPr>
      <w:r>
        <w:rPr>
          <w:rFonts w:ascii="Arial" w:cs="Arial" w:eastAsia="Arial" w:hAnsi="Arial"/>
          <w:b/>
          <w:bCs/>
          <w:color w:val="1F3864"/>
          <w:sz w:val="22"/>
          <w:szCs w:val="22"/>
        </w:rPr>
        <w:t xml:space="preserve">Agent interface. </w:t>
      </w:r>
      <w:r>
        <w:rPr>
          <w:rFonts w:ascii="Arial" w:cs="Arial" w:eastAsia="Arial" w:hAnsi="Arial"/>
          <w:color w:val="000000"/>
          <w:sz w:val="22"/>
          <w:szCs w:val="22"/>
        </w:rPr>
        <w:t xml:space="preserve">The copilot panel is embedded in or alongside the existing agent desktop. It presents the current suggestion, source references, and confidence indicators in a format designed to support rapid review without disrupting conversational flow. The agent accepts, edits, or dismisses the suggestion explicitly.</w:t>
      </w:r>
    </w:p>
    <w:p>
      <w:pPr>
        <w:spacing w:after="120" w:before="80"/>
        <w:jc w:val="both"/>
      </w:pPr>
      <w:r>
        <w:rPr>
          <w:rFonts w:ascii="Arial" w:cs="Arial" w:eastAsia="Arial" w:hAnsi="Arial"/>
          <w:b/>
          <w:bCs/>
          <w:color w:val="1F3864"/>
          <w:sz w:val="22"/>
          <w:szCs w:val="22"/>
        </w:rPr>
        <w:t xml:space="preserve">Audit and logging. </w:t>
      </w:r>
      <w:r>
        <w:rPr>
          <w:rFonts w:ascii="Arial" w:cs="Arial" w:eastAsia="Arial" w:hAnsi="Arial"/>
          <w:color w:val="000000"/>
          <w:sz w:val="22"/>
          <w:szCs w:val="22"/>
        </w:rPr>
        <w:t xml:space="preserve">All system outputs, agent decisions, and final transmitted content are logged in a structured, queryable format. Logs are retained in accordance with the institution's data retention policy and are accessible to authorised compliance and quality teams.</w:t>
      </w:r>
    </w:p>
    <w:p>
      <w:pPr>
        <w:spacing w:after="120" w:before="80"/>
        <w:jc w:val="both"/>
      </w:pPr>
      <w:r>
        <w:rPr>
          <w:rFonts w:ascii="Arial" w:cs="Arial" w:eastAsia="Arial" w:hAnsi="Arial"/>
          <w:color w:val="000000"/>
          <w:sz w:val="22"/>
          <w:szCs w:val="22"/>
        </w:rPr>
        <w:t xml:space="preserve">The system does not require replacement of existing contact centre infrastructure. Integration is designed to work with the existing CRM and telephony platform, with specific integration requirements confirmed during the discovery phase.</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6. Security, Compliance, and Governance Considerations</w:t>
      </w:r>
    </w:p>
    <w:p>
      <w:pPr>
        <w:spacing w:after="120" w:before="80"/>
        <w:jc w:val="both"/>
      </w:pPr>
      <w:r>
        <w:rPr>
          <w:rFonts w:ascii="Arial" w:cs="Arial" w:eastAsia="Arial" w:hAnsi="Arial"/>
          <w:color w:val="000000"/>
          <w:sz w:val="22"/>
          <w:szCs w:val="22"/>
        </w:rPr>
        <w:t xml:space="preserve">The governance framework for this solution is structured around three principles: human authority, data containment, and auditability.</w:t>
      </w:r>
    </w:p>
    <w:p>
      <w:pPr>
        <w:spacing w:after="120" w:before="80"/>
        <w:jc w:val="both"/>
      </w:pPr>
      <w:r>
        <w:rPr>
          <w:rFonts w:ascii="Arial" w:cs="Arial" w:eastAsia="Arial" w:hAnsi="Arial"/>
          <w:b/>
          <w:bCs/>
          <w:color w:val="1F3864"/>
          <w:sz w:val="22"/>
          <w:szCs w:val="22"/>
        </w:rPr>
        <w:t xml:space="preserve">No autonomous decision-making. </w:t>
      </w:r>
      <w:r>
        <w:rPr>
          <w:rFonts w:ascii="Arial" w:cs="Arial" w:eastAsia="Arial" w:hAnsi="Arial"/>
          <w:color w:val="000000"/>
          <w:sz w:val="22"/>
          <w:szCs w:val="22"/>
        </w:rPr>
        <w:t xml:space="preserve">The copilot system does not make, record, or communicate any decision on behalf of the institution. It does not approve or decline applications, modify account parameters, or initiate any financial transaction. Every consequential action in a customer interaction is taken by a human agent who retains full responsibility for the content and accuracy of their communication.</w:t>
      </w:r>
    </w:p>
    <w:p>
      <w:pPr>
        <w:spacing w:after="120" w:before="80"/>
        <w:jc w:val="both"/>
      </w:pPr>
      <w:r>
        <w:rPr>
          <w:rFonts w:ascii="Arial" w:cs="Arial" w:eastAsia="Arial" w:hAnsi="Arial"/>
          <w:b/>
          <w:bCs/>
          <w:color w:val="1F3864"/>
          <w:sz w:val="22"/>
          <w:szCs w:val="22"/>
        </w:rPr>
        <w:t xml:space="preserve">Human validation is mandatory. </w:t>
      </w:r>
      <w:r>
        <w:rPr>
          <w:rFonts w:ascii="Arial" w:cs="Arial" w:eastAsia="Arial" w:hAnsi="Arial"/>
          <w:color w:val="000000"/>
          <w:sz w:val="22"/>
          <w:szCs w:val="22"/>
        </w:rPr>
        <w:t xml:space="preserve">The system is configured so that no AI-generated suggestion can reach the customer without explicit agent confirmation. This applies without exception, including during high-volume periods or where agent workload is elevated. There is no configuration mode in which the system can send autonomous responses.</w:t>
      </w:r>
    </w:p>
    <w:p>
      <w:pPr>
        <w:spacing w:after="120" w:before="80"/>
        <w:jc w:val="both"/>
      </w:pPr>
      <w:r>
        <w:rPr>
          <w:rFonts w:ascii="Arial" w:cs="Arial" w:eastAsia="Arial" w:hAnsi="Arial"/>
          <w:b/>
          <w:bCs/>
          <w:color w:val="1F3864"/>
          <w:sz w:val="22"/>
          <w:szCs w:val="22"/>
        </w:rPr>
        <w:t xml:space="preserve">Data classification and handling. </w:t>
      </w:r>
      <w:r>
        <w:rPr>
          <w:rFonts w:ascii="Arial" w:cs="Arial" w:eastAsia="Arial" w:hAnsi="Arial"/>
          <w:color w:val="000000"/>
          <w:sz w:val="22"/>
          <w:szCs w:val="22"/>
        </w:rPr>
        <w:t xml:space="preserve">Customer interaction data processed by the copilot system is treated as sensitive personal data in accordance with applicable data protection legislation. The system operates within the institution's data boundary; no customer data is transmitted to external model providers without a reviewed and executed data processing agreement and a legal basis for processing.</w:t>
      </w:r>
    </w:p>
    <w:p>
      <w:pPr>
        <w:spacing w:after="120" w:before="80"/>
        <w:jc w:val="both"/>
      </w:pPr>
      <w:r>
        <w:rPr>
          <w:rFonts w:ascii="Arial" w:cs="Arial" w:eastAsia="Arial" w:hAnsi="Arial"/>
          <w:b/>
          <w:bCs/>
          <w:color w:val="1F3864"/>
          <w:sz w:val="22"/>
          <w:szCs w:val="22"/>
        </w:rPr>
        <w:t xml:space="preserve">Model governance and change control. </w:t>
      </w:r>
      <w:r>
        <w:rPr>
          <w:rFonts w:ascii="Arial" w:cs="Arial" w:eastAsia="Arial" w:hAnsi="Arial"/>
          <w:color w:val="000000"/>
          <w:sz w:val="22"/>
          <w:szCs w:val="22"/>
        </w:rPr>
        <w:t xml:space="preserve">Any update to the underlying AI model or to the retrieval and response generation configuration is subject to a formal change control process, including regression testing, compliance review, and authorised sign-off before deployment to production environments.</w:t>
      </w:r>
    </w:p>
    <w:p>
      <w:pPr>
        <w:spacing w:after="120" w:before="80"/>
        <w:jc w:val="both"/>
      </w:pPr>
      <w:r>
        <w:rPr>
          <w:rFonts w:ascii="Arial" w:cs="Arial" w:eastAsia="Arial" w:hAnsi="Arial"/>
          <w:b/>
          <w:bCs/>
          <w:color w:val="1F3864"/>
          <w:sz w:val="22"/>
          <w:szCs w:val="22"/>
        </w:rPr>
        <w:t xml:space="preserve">Access controls. </w:t>
      </w:r>
      <w:r>
        <w:rPr>
          <w:rFonts w:ascii="Arial" w:cs="Arial" w:eastAsia="Arial" w:hAnsi="Arial"/>
          <w:color w:val="000000"/>
          <w:sz w:val="22"/>
          <w:szCs w:val="22"/>
        </w:rPr>
        <w:t xml:space="preserve">The copilot system applies role-based access controls consistent with the principle of least privilege. Agents access only the knowledge content relevant to their role and product scope. Audit logs are accessible only to authorised compliance, quality, and management personnel.</w:t>
      </w:r>
    </w:p>
    <w:p>
      <w:pPr>
        <w:spacing w:after="120" w:before="80"/>
        <w:jc w:val="both"/>
      </w:pPr>
      <w:r>
        <w:rPr>
          <w:rFonts w:ascii="Arial" w:cs="Arial" w:eastAsia="Arial" w:hAnsi="Arial"/>
          <w:b/>
          <w:bCs/>
          <w:color w:val="1F3864"/>
          <w:sz w:val="22"/>
          <w:szCs w:val="22"/>
        </w:rPr>
        <w:t xml:space="preserve">Regulatory alignment. </w:t>
      </w:r>
      <w:r>
        <w:rPr>
          <w:rFonts w:ascii="Arial" w:cs="Arial" w:eastAsia="Arial" w:hAnsi="Arial"/>
          <w:color w:val="000000"/>
          <w:sz w:val="22"/>
          <w:szCs w:val="22"/>
        </w:rPr>
        <w:t xml:space="preserve">The solution design takes account of relevant obligations under the institution's applicable regulatory framework, which may include conduct rules, consumer duty requirements, and data protection legislation. The specific regulatory mapping will be completed in collaboration with the institution's compliance function during the implementation phase.</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7. Implementation Plan and Timeline</w:t>
      </w:r>
    </w:p>
    <w:p>
      <w:pPr>
        <w:spacing w:after="120" w:before="80"/>
        <w:jc w:val="both"/>
      </w:pPr>
      <w:r>
        <w:rPr>
          <w:rFonts w:ascii="Arial" w:cs="Arial" w:eastAsia="Arial" w:hAnsi="Arial"/>
          <w:color w:val="000000"/>
          <w:sz w:val="22"/>
          <w:szCs w:val="22"/>
        </w:rPr>
        <w:t xml:space="preserve">The implementation is structured across four phases to allow the institution to validate the solution progressively before committing to full deployment.</w:t>
      </w:r>
    </w:p>
    <w:p>
      <w:pPr>
        <w:spacing w:after="120" w:before="80"/>
        <w:jc w:val="both"/>
      </w:pPr>
      <w:r>
        <w:rPr>
          <w:rFonts w:ascii="Arial" w:cs="Arial" w:eastAsia="Arial" w:hAnsi="Arial"/>
          <w:b/>
          <w:bCs/>
          <w:color w:val="1F3864"/>
          <w:sz w:val="22"/>
          <w:szCs w:val="22"/>
        </w:rPr>
        <w:t xml:space="preserve">Phase 1 — Discovery and Design (Weeks 1–6). </w:t>
      </w:r>
      <w:r>
        <w:rPr>
          <w:rFonts w:ascii="Arial" w:cs="Arial" w:eastAsia="Arial" w:hAnsi="Arial"/>
          <w:color w:val="000000"/>
          <w:sz w:val="22"/>
          <w:szCs w:val="22"/>
        </w:rPr>
        <w:t xml:space="preserve">Structured discovery workshops with contact centre operations, technology, compliance, and risk teams. Outputs include a confirmed integration architecture, a knowledge content inventory, a data processing assessment, and a documented governance framework. This phase concludes with a solution design sign-off.</w:t>
      </w:r>
    </w:p>
    <w:p>
      <w:pPr>
        <w:spacing w:after="120" w:before="80"/>
        <w:jc w:val="both"/>
      </w:pPr>
      <w:r>
        <w:rPr>
          <w:rFonts w:ascii="Arial" w:cs="Arial" w:eastAsia="Arial" w:hAnsi="Arial"/>
          <w:b/>
          <w:bCs/>
          <w:color w:val="1F3864"/>
          <w:sz w:val="22"/>
          <w:szCs w:val="22"/>
        </w:rPr>
        <w:t xml:space="preserve">Phase 2 — Build and Integration (Weeks 7–16). </w:t>
      </w:r>
      <w:r>
        <w:rPr>
          <w:rFonts w:ascii="Arial" w:cs="Arial" w:eastAsia="Arial" w:hAnsi="Arial"/>
          <w:color w:val="000000"/>
          <w:sz w:val="22"/>
          <w:szCs w:val="22"/>
        </w:rPr>
        <w:t xml:space="preserve">Technical build of the copilot system, integration with designated knowledge sources and the agent desktop platform, configuration of guardrails and escalation rules, and development of the audit logging infrastructure. User acceptance testing is conducted with a representative sample of agents and team leaders.</w:t>
      </w:r>
    </w:p>
    <w:p>
      <w:pPr>
        <w:spacing w:after="120" w:before="80"/>
        <w:jc w:val="both"/>
      </w:pPr>
      <w:r>
        <w:rPr>
          <w:rFonts w:ascii="Arial" w:cs="Arial" w:eastAsia="Arial" w:hAnsi="Arial"/>
          <w:b/>
          <w:bCs/>
          <w:color w:val="1F3864"/>
          <w:sz w:val="22"/>
          <w:szCs w:val="22"/>
        </w:rPr>
        <w:t xml:space="preserve">Phase 3 — Controlled Pilot (Weeks 17–24). </w:t>
      </w:r>
      <w:r>
        <w:rPr>
          <w:rFonts w:ascii="Arial" w:cs="Arial" w:eastAsia="Arial" w:hAnsi="Arial"/>
          <w:color w:val="000000"/>
          <w:sz w:val="22"/>
          <w:szCs w:val="22"/>
        </w:rPr>
        <w:t xml:space="preserve">Deployment to a defined pilot cohort, typically a single team or site. Performance is monitored against agreed indicators covering suggestion relevance, agent adoption, conversation quality, and audit completeness. Findings inform configuration adjustments before broader rollout.</w:t>
      </w:r>
    </w:p>
    <w:p>
      <w:pPr>
        <w:spacing w:after="120" w:before="80"/>
        <w:jc w:val="both"/>
      </w:pPr>
      <w:r>
        <w:rPr>
          <w:rFonts w:ascii="Arial" w:cs="Arial" w:eastAsia="Arial" w:hAnsi="Arial"/>
          <w:b/>
          <w:bCs/>
          <w:color w:val="1F3864"/>
          <w:sz w:val="22"/>
          <w:szCs w:val="22"/>
        </w:rPr>
        <w:t xml:space="preserve">Phase 4 — Phased Rollout and Stabilisation (Weeks 25–36). </w:t>
      </w:r>
      <w:r>
        <w:rPr>
          <w:rFonts w:ascii="Arial" w:cs="Arial" w:eastAsia="Arial" w:hAnsi="Arial"/>
          <w:color w:val="000000"/>
          <w:sz w:val="22"/>
          <w:szCs w:val="22"/>
        </w:rPr>
        <w:t xml:space="preserve">Staged expansion to additional teams or sites, with continued performance monitoring and a formal post-implementation review at the end of the period. Transition to a business-as-usual operating model with defined support and governance arrangements in place.</w:t>
      </w:r>
    </w:p>
    <w:p>
      <w:pPr>
        <w:spacing w:after="120" w:before="80"/>
        <w:jc w:val="both"/>
      </w:pPr>
      <w:r>
        <w:rPr>
          <w:rFonts w:ascii="Arial" w:cs="Arial" w:eastAsia="Arial" w:hAnsi="Arial"/>
          <w:color w:val="000000"/>
          <w:sz w:val="22"/>
          <w:szCs w:val="22"/>
        </w:rPr>
        <w:t xml:space="preserve">Indicative timelines are subject to confirmation of discovery findings, integration complexity, and the institution's internal approval and change management processes.</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8. Risks, Assumptions, and Dependencies</w:t>
      </w:r>
    </w:p>
    <w:p>
      <w:pPr>
        <w:spacing w:after="120" w:before="80"/>
        <w:jc w:val="both"/>
      </w:pPr>
      <w:r>
        <w:rPr>
          <w:rFonts w:ascii="Arial" w:cs="Arial" w:eastAsia="Arial" w:hAnsi="Arial"/>
          <w:b/>
          <w:bCs/>
          <w:color w:val="1F3864"/>
          <w:sz w:val="22"/>
          <w:szCs w:val="22"/>
        </w:rPr>
        <w:t xml:space="preserve">Knowledge base quality. </w:t>
      </w:r>
      <w:r>
        <w:rPr>
          <w:rFonts w:ascii="Arial" w:cs="Arial" w:eastAsia="Arial" w:hAnsi="Arial"/>
          <w:color w:val="000000"/>
          <w:sz w:val="22"/>
          <w:szCs w:val="22"/>
        </w:rPr>
        <w:t xml:space="preserve">The effectiveness of the copilot is directly dependent on the quality, currency, and structure of the knowledge content available for retrieval. Where existing documentation is fragmented, outdated, or inconsistently formatted, a content remediation workstream will be required in advance of or alongside the technical build.</w:t>
      </w:r>
    </w:p>
    <w:p>
      <w:pPr>
        <w:spacing w:after="120" w:before="80"/>
        <w:jc w:val="both"/>
      </w:pPr>
      <w:r>
        <w:rPr>
          <w:rFonts w:ascii="Arial" w:cs="Arial" w:eastAsia="Arial" w:hAnsi="Arial"/>
          <w:b/>
          <w:bCs/>
          <w:color w:val="1F3864"/>
          <w:sz w:val="22"/>
          <w:szCs w:val="22"/>
        </w:rPr>
        <w:t xml:space="preserve">Integration complexity. </w:t>
      </w:r>
      <w:r>
        <w:rPr>
          <w:rFonts w:ascii="Arial" w:cs="Arial" w:eastAsia="Arial" w:hAnsi="Arial"/>
          <w:color w:val="000000"/>
          <w:sz w:val="22"/>
          <w:szCs w:val="22"/>
        </w:rPr>
        <w:t xml:space="preserve">Integration with legacy CRM and telephony systems may introduce technical dependencies that affect timeline and cost. A technical assessment of the existing contact centre stack is a prerequisite to confirming the implementation approach.</w:t>
      </w:r>
    </w:p>
    <w:p>
      <w:pPr>
        <w:spacing w:after="120" w:before="80"/>
        <w:jc w:val="both"/>
      </w:pPr>
      <w:r>
        <w:rPr>
          <w:rFonts w:ascii="Arial" w:cs="Arial" w:eastAsia="Arial" w:hAnsi="Arial"/>
          <w:b/>
          <w:bCs/>
          <w:color w:val="1F3864"/>
          <w:sz w:val="22"/>
          <w:szCs w:val="22"/>
        </w:rPr>
        <w:t xml:space="preserve">Agent adoption. </w:t>
      </w:r>
      <w:r>
        <w:rPr>
          <w:rFonts w:ascii="Arial" w:cs="Arial" w:eastAsia="Arial" w:hAnsi="Arial"/>
          <w:color w:val="000000"/>
          <w:sz w:val="22"/>
          <w:szCs w:val="22"/>
        </w:rPr>
        <w:t xml:space="preserve">The value of the copilot is realised through consistent agent use. A structured change management programme — including role-specific training, supervisor engagement, and clear communication of the system's purpose and boundaries — is essential to achieving adoption at the pace and scale required.</w:t>
      </w:r>
    </w:p>
    <w:p>
      <w:pPr>
        <w:spacing w:after="120" w:before="80"/>
        <w:jc w:val="both"/>
      </w:pPr>
      <w:r>
        <w:rPr>
          <w:rFonts w:ascii="Arial" w:cs="Arial" w:eastAsia="Arial" w:hAnsi="Arial"/>
          <w:b/>
          <w:bCs/>
          <w:color w:val="1F3864"/>
          <w:sz w:val="22"/>
          <w:szCs w:val="22"/>
        </w:rPr>
        <w:t xml:space="preserve">Regulatory change. </w:t>
      </w:r>
      <w:r>
        <w:rPr>
          <w:rFonts w:ascii="Arial" w:cs="Arial" w:eastAsia="Arial" w:hAnsi="Arial"/>
          <w:color w:val="000000"/>
          <w:sz w:val="22"/>
          <w:szCs w:val="22"/>
        </w:rPr>
        <w:t xml:space="preserve">Changes to the regulatory environment during or after implementation may require adjustments to guardrail configurations, disclosure requirements, or audit procedures. The governance framework should include a mechanism for reviewing and responding to such changes.</w:t>
      </w:r>
    </w:p>
    <w:p>
      <w:pPr>
        <w:spacing w:after="120" w:before="80"/>
        <w:jc w:val="both"/>
      </w:pPr>
      <w:r>
        <w:rPr>
          <w:rFonts w:ascii="Arial" w:cs="Arial" w:eastAsia="Arial" w:hAnsi="Arial"/>
          <w:b/>
          <w:bCs/>
          <w:color w:val="1F3864"/>
          <w:sz w:val="22"/>
          <w:szCs w:val="22"/>
        </w:rPr>
        <w:t xml:space="preserve">Data processing agreements. </w:t>
      </w:r>
      <w:r>
        <w:rPr>
          <w:rFonts w:ascii="Arial" w:cs="Arial" w:eastAsia="Arial" w:hAnsi="Arial"/>
          <w:color w:val="000000"/>
          <w:sz w:val="22"/>
          <w:szCs w:val="22"/>
        </w:rPr>
        <w:t xml:space="preserve">Where any component of the solution involves processing customer data outside the institution's direct control, the relevant data processing and sub-processing agreements must be in place before processing commences. This is a hard dependency on project timeline.</w:t>
      </w:r>
    </w:p>
    <w:p>
      <w:pPr>
        <w:spacing w:after="120" w:before="80"/>
        <w:jc w:val="both"/>
      </w:pPr>
      <w:r>
        <w:rPr>
          <w:rFonts w:ascii="Arial" w:cs="Arial" w:eastAsia="Arial" w:hAnsi="Arial"/>
          <w:color w:val="000000"/>
          <w:sz w:val="22"/>
          <w:szCs w:val="22"/>
        </w:rPr>
        <w:t xml:space="preserve">This proposal assumes that the institution has executive sponsorship for the programme, that key stakeholders in operations, technology, compliance, and legal are available for structured engagement during the discovery phase, and that a dedicated programme resource is allocated on the client side for the duration of the implementation.</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9. Commercial Considerations</w:t>
      </w:r>
    </w:p>
    <w:p>
      <w:pPr>
        <w:spacing w:after="120" w:before="80"/>
        <w:jc w:val="both"/>
      </w:pPr>
      <w:r>
        <w:rPr>
          <w:rFonts w:ascii="Arial" w:cs="Arial" w:eastAsia="Arial" w:hAnsi="Arial"/>
          <w:color w:val="000000"/>
          <w:sz w:val="22"/>
          <w:szCs w:val="22"/>
        </w:rPr>
        <w:t xml:space="preserve">Commercial terms for this engagement will be structured following the completion of the discovery phase, at which point the full scope of integration work, content remediation, and configuration requirements will be confirmed. A fixed-price proposal for the build and pilot phases will be issued at that stage, based on the agreed scope and delivery model.</w:t>
      </w:r>
    </w:p>
    <w:p>
      <w:pPr>
        <w:spacing w:after="120" w:before="80"/>
        <w:jc w:val="both"/>
      </w:pPr>
      <w:r>
        <w:rPr>
          <w:rFonts w:ascii="Arial" w:cs="Arial" w:eastAsia="Arial" w:hAnsi="Arial"/>
          <w:color w:val="000000"/>
          <w:sz w:val="22"/>
          <w:szCs w:val="22"/>
        </w:rPr>
        <w:t xml:space="preserve">The commercial model is expected to comprise a one-time implementation fee covering discovery, design, build, and pilot delivery, together with an annual recurring fee covering platform licensing, managed support, model governance, and ongoing configuration management. Volume-based components related to interaction processing may apply depending on the deployment scale.</w:t>
      </w:r>
    </w:p>
    <w:p>
      <w:pPr>
        <w:spacing w:after="120" w:before="80"/>
        <w:jc w:val="both"/>
      </w:pPr>
      <w:r>
        <w:rPr>
          <w:rFonts w:ascii="Arial" w:cs="Arial" w:eastAsia="Arial" w:hAnsi="Arial"/>
          <w:color w:val="000000"/>
          <w:sz w:val="22"/>
          <w:szCs w:val="22"/>
        </w:rPr>
        <w:t xml:space="preserve">The institution should also factor in internal costs associated with stakeholder time during discovery, change management and training delivery, and any content remediation activities identified during the knowledge base assessment.</w:t>
      </w:r>
    </w:p>
    <w:p>
      <w:pPr>
        <w:spacing w:after="120" w:before="80"/>
        <w:jc w:val="both"/>
      </w:pPr>
      <w:r>
        <w:rPr>
          <w:rFonts w:ascii="Arial" w:cs="Arial" w:eastAsia="Arial" w:hAnsi="Arial"/>
          <w:color w:val="000000"/>
          <w:sz w:val="22"/>
          <w:szCs w:val="22"/>
        </w:rPr>
        <w:t xml:space="preserve">A more detailed commercial breakdown, including options for phased commitment aligned to pilot outcomes, will be provided as part of the formal statement of work.</w:t>
      </w:r>
    </w:p>
    <w:p>
      <w:pPr>
        <w:spacing w:after="60" w:before="60"/>
      </w:pPr>
      <w:r>
        <w:t xml:space="preserve"/>
      </w:r>
    </w:p>
    <w:p>
      <w:pPr>
        <w:pStyle w:val="Heading1"/>
        <w:pBdr>
          <w:bottom w:val="single" w:color="2E5FAC" w:sz="6" w:space="4"/>
        </w:pBdr>
        <w:spacing w:after="160" w:before="360"/>
      </w:pPr>
      <w:r>
        <w:rPr>
          <w:rFonts w:ascii="Arial" w:cs="Arial" w:eastAsia="Arial" w:hAnsi="Arial"/>
          <w:b/>
          <w:bCs/>
          <w:color w:val="1F3864"/>
          <w:sz w:val="28"/>
          <w:szCs w:val="28"/>
        </w:rPr>
        <w:t xml:space="preserve">10. Next Steps</w:t>
      </w:r>
    </w:p>
    <w:p>
      <w:pPr>
        <w:spacing w:after="120" w:before="80"/>
        <w:jc w:val="both"/>
      </w:pPr>
      <w:r>
        <w:rPr>
          <w:rFonts w:ascii="Arial" w:cs="Arial" w:eastAsia="Arial" w:hAnsi="Arial"/>
          <w:color w:val="000000"/>
          <w:sz w:val="22"/>
          <w:szCs w:val="22"/>
        </w:rPr>
        <w:t xml:space="preserve">The following actions are proposed to progress this engagement from proposal stage to a confirmed implementation programme:</w:t>
      </w:r>
    </w:p>
    <w:p>
      <w:pPr>
        <w:spacing w:after="120" w:before="80"/>
        <w:jc w:val="both"/>
      </w:pPr>
      <w:r>
        <w:rPr>
          <w:rFonts w:ascii="Arial" w:cs="Arial" w:eastAsia="Arial" w:hAnsi="Arial"/>
          <w:b/>
          <w:bCs/>
          <w:color w:val="1F3864"/>
          <w:sz w:val="22"/>
          <w:szCs w:val="22"/>
        </w:rPr>
        <w:t xml:space="preserve">Stakeholder alignment session. </w:t>
      </w:r>
      <w:r>
        <w:rPr>
          <w:rFonts w:ascii="Arial" w:cs="Arial" w:eastAsia="Arial" w:hAnsi="Arial"/>
          <w:color w:val="000000"/>
          <w:sz w:val="22"/>
          <w:szCs w:val="22"/>
        </w:rPr>
        <w:t xml:space="preserve">A structured session with the institution's operations, technology, compliance, and legal leads to review the proposed approach, confirm scope assumptions, and identify any material constraints or dependencies not addressed in this proposal.</w:t>
      </w:r>
    </w:p>
    <w:p>
      <w:pPr>
        <w:spacing w:after="120" w:before="80"/>
        <w:jc w:val="both"/>
      </w:pPr>
      <w:r>
        <w:rPr>
          <w:rFonts w:ascii="Arial" w:cs="Arial" w:eastAsia="Arial" w:hAnsi="Arial"/>
          <w:b/>
          <w:bCs/>
          <w:color w:val="1F3864"/>
          <w:sz w:val="22"/>
          <w:szCs w:val="22"/>
        </w:rPr>
        <w:t xml:space="preserve">Technical discovery. </w:t>
      </w:r>
      <w:r>
        <w:rPr>
          <w:rFonts w:ascii="Arial" w:cs="Arial" w:eastAsia="Arial" w:hAnsi="Arial"/>
          <w:color w:val="000000"/>
          <w:sz w:val="22"/>
          <w:szCs w:val="22"/>
        </w:rPr>
        <w:t xml:space="preserve">A focused assessment of the existing contact centre technology stack, knowledge management environment, and data architecture to confirm integration feasibility and inform a detailed implementation plan.</w:t>
      </w:r>
    </w:p>
    <w:p>
      <w:pPr>
        <w:spacing w:after="120" w:before="80"/>
        <w:jc w:val="both"/>
      </w:pPr>
      <w:r>
        <w:rPr>
          <w:rFonts w:ascii="Arial" w:cs="Arial" w:eastAsia="Arial" w:hAnsi="Arial"/>
          <w:b/>
          <w:bCs/>
          <w:color w:val="1F3864"/>
          <w:sz w:val="22"/>
          <w:szCs w:val="22"/>
        </w:rPr>
        <w:t xml:space="preserve">Governance and legal review. </w:t>
      </w:r>
      <w:r>
        <w:rPr>
          <w:rFonts w:ascii="Arial" w:cs="Arial" w:eastAsia="Arial" w:hAnsi="Arial"/>
          <w:color w:val="000000"/>
          <w:sz w:val="22"/>
          <w:szCs w:val="22"/>
        </w:rPr>
        <w:t xml:space="preserve">A review of the proposed data processing framework, governance model, and audit approach by the institution's compliance and legal teams, with any required amendments incorporated into the solution design before build commences.</w:t>
      </w:r>
    </w:p>
    <w:p>
      <w:pPr>
        <w:spacing w:after="120" w:before="80"/>
        <w:jc w:val="both"/>
      </w:pPr>
      <w:r>
        <w:rPr>
          <w:rFonts w:ascii="Arial" w:cs="Arial" w:eastAsia="Arial" w:hAnsi="Arial"/>
          <w:b/>
          <w:bCs/>
          <w:color w:val="1F3864"/>
          <w:sz w:val="22"/>
          <w:szCs w:val="22"/>
        </w:rPr>
        <w:t xml:space="preserve">Statement of work. </w:t>
      </w:r>
      <w:r>
        <w:rPr>
          <w:rFonts w:ascii="Arial" w:cs="Arial" w:eastAsia="Arial" w:hAnsi="Arial"/>
          <w:color w:val="000000"/>
          <w:sz w:val="22"/>
          <w:szCs w:val="22"/>
        </w:rPr>
        <w:t xml:space="preserve">Subject to alignment on the above, a formal statement of work will be issued covering the confirmed scope, timeline, commercial terms, and governance arrangements for the engagement.</w:t>
      </w:r>
    </w:p>
    <w:p>
      <w:pPr>
        <w:spacing w:after="120" w:before="80"/>
        <w:jc w:val="both"/>
      </w:pPr>
      <w:r>
        <w:rPr>
          <w:rFonts w:ascii="Arial" w:cs="Arial" w:eastAsia="Arial" w:hAnsi="Arial"/>
          <w:color w:val="000000"/>
          <w:sz w:val="22"/>
          <w:szCs w:val="22"/>
        </w:rPr>
        <w:t xml:space="preserve">We welcome the opportunity to discuss this proposal and would be pleased to arrange a working session at a time convenient to the relevant stakeholders.</w:t>
      </w:r>
    </w:p>
    <w:p>
      <w:pPr>
        <w:spacing w:after="60" w:before="60"/>
      </w:pPr>
      <w:r>
        <w:t xml:space="preserve"/>
      </w:r>
    </w:p>
    <w:p>
      <w:pPr>
        <w:spacing w:after="240" w:before="480"/>
        <w:jc w:val="center"/>
      </w:pPr>
      <w:r>
        <w:rPr>
          <w:rFonts w:ascii="Arial" w:cs="Arial" w:eastAsia="Arial" w:hAnsi="Arial"/>
          <w:i/>
          <w:iCs/>
          <w:color w:val="595959"/>
          <w:sz w:val="20"/>
          <w:szCs w:val="20"/>
        </w:rPr>
        <w:t xml:space="preserve">— End of Proposal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120"/>
    </w:pPr>
    <w:r>
      <w:rPr>
        <w:rFonts w:ascii="Arial" w:cs="Arial" w:eastAsia="Arial" w:hAnsi="Arial"/>
        <w:color w:val="595959"/>
        <w:sz w:val="18"/>
        <w:szCs w:val="18"/>
      </w:rPr>
      <w:t xml:space="preserve">CONFIDENTIAL — AI-Powered Contact Centre Copilot Proposal</w:t>
    </w:r>
    <w:r>
      <w:rPr>
        <w:rFonts w:ascii="Arial" w:cs="Arial" w:eastAsia="Arial" w:hAnsi="Arial"/>
        <w:sz w:val="18"/>
        <w:szCs w:val="18"/>
      </w:rPr>
      <w:t xml:space="preserve">	</w:t>
    </w:r>
    <w:r>
      <w:rPr>
        <w:rFonts w:ascii="Arial" w:cs="Arial" w:eastAsia="Arial" w:hAnsi="Arial"/>
        <w:color w:val="59595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2026-04-01T20:26:10.861Z</dcterms:created>
  <dcterms:modified xsi:type="dcterms:W3CDTF">2026-04-01T20:26:10.862Z</dcterms:modified>
</cp:coreProperties>
</file>

<file path=docProps/custom.xml><?xml version="1.0" encoding="utf-8"?>
<Properties xmlns="http://schemas.openxmlformats.org/officeDocument/2006/custom-properties" xmlns:vt="http://schemas.openxmlformats.org/officeDocument/2006/docPropsVTypes"/>
</file>