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8B68" w14:textId="79B5F37B" w:rsidR="00FE4E79" w:rsidRDefault="00D6554A" w:rsidP="00983DBA">
      <w:pPr>
        <w:rPr>
          <w:rFonts w:asciiTheme="majorHAnsi" w:eastAsiaTheme="majorEastAsia" w:hAnsiTheme="majorHAnsi" w:cstheme="majorBidi"/>
          <w:color w:val="000000" w:themeColor="text1"/>
          <w:sz w:val="24"/>
          <w:szCs w:val="24"/>
          <w:lang w:val="en-IN"/>
        </w:rPr>
      </w:pPr>
      <w:r w:rsidRPr="00D6554A">
        <w:rPr>
          <w:rFonts w:asciiTheme="majorHAnsi" w:eastAsiaTheme="majorEastAsia" w:hAnsiTheme="majorHAnsi" w:cstheme="majorBidi"/>
          <w:noProof/>
          <w:color w:val="000000" w:themeColor="text1"/>
          <w:sz w:val="24"/>
          <w:szCs w:val="24"/>
          <w:lang w:val="en-IN"/>
        </w:rPr>
        <w:drawing>
          <wp:inline distT="0" distB="0" distL="0" distR="0" wp14:anchorId="544A9DE8" wp14:editId="398B2548">
            <wp:extent cx="1284941" cy="1092200"/>
            <wp:effectExtent l="0" t="0" r="0" b="0"/>
            <wp:docPr id="19579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2591" name=""/>
                    <pic:cNvPicPr/>
                  </pic:nvPicPr>
                  <pic:blipFill>
                    <a:blip r:embed="rId8"/>
                    <a:stretch>
                      <a:fillRect/>
                    </a:stretch>
                  </pic:blipFill>
                  <pic:spPr>
                    <a:xfrm>
                      <a:off x="0" y="0"/>
                      <a:ext cx="1290193" cy="1096665"/>
                    </a:xfrm>
                    <a:prstGeom prst="rect">
                      <a:avLst/>
                    </a:prstGeom>
                  </pic:spPr>
                </pic:pic>
              </a:graphicData>
            </a:graphic>
          </wp:inline>
        </w:drawing>
      </w:r>
    </w:p>
    <w:p w14:paraId="7BC005DB" w14:textId="2B91D1D7" w:rsid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w:t>
      </w:r>
      <w:r w:rsidRPr="00983DBA">
        <w:rPr>
          <w:rFonts w:asciiTheme="majorHAnsi" w:eastAsiaTheme="majorEastAsia" w:hAnsiTheme="majorHAnsi" w:cstheme="majorBidi"/>
          <w:color w:val="000000" w:themeColor="text1"/>
          <w:sz w:val="24"/>
          <w:szCs w:val="24"/>
          <w:lang w:val="en-IN"/>
        </w:rPr>
        <w:br/>
        <w:t>Document ID: HR-POL-001</w:t>
      </w:r>
      <w:r w:rsidRPr="00983DBA">
        <w:rPr>
          <w:rFonts w:asciiTheme="majorHAnsi" w:eastAsiaTheme="majorEastAsia" w:hAnsiTheme="majorHAnsi" w:cstheme="majorBidi"/>
          <w:color w:val="000000" w:themeColor="text1"/>
          <w:sz w:val="24"/>
          <w:szCs w:val="24"/>
          <w:lang w:val="en-IN"/>
        </w:rPr>
        <w:br/>
        <w:t>Version: 1.0</w:t>
      </w:r>
      <w:r w:rsidRPr="00983DBA">
        <w:rPr>
          <w:rFonts w:asciiTheme="majorHAnsi" w:eastAsiaTheme="majorEastAsia" w:hAnsiTheme="majorHAnsi" w:cstheme="majorBidi"/>
          <w:color w:val="000000" w:themeColor="text1"/>
          <w:sz w:val="24"/>
          <w:szCs w:val="24"/>
          <w:lang w:val="en-IN"/>
        </w:rPr>
        <w:br/>
        <w:t>Effective Date: January 1, 2026</w:t>
      </w:r>
      <w:r w:rsidRPr="00983DBA">
        <w:rPr>
          <w:rFonts w:asciiTheme="majorHAnsi" w:eastAsiaTheme="majorEastAsia" w:hAnsiTheme="majorHAnsi" w:cstheme="majorBidi"/>
          <w:color w:val="000000" w:themeColor="text1"/>
          <w:sz w:val="24"/>
          <w:szCs w:val="24"/>
          <w:lang w:val="en-IN"/>
        </w:rPr>
        <w:br/>
        <w:t>Title: Employee Onboarding Policy</w:t>
      </w:r>
      <w:r w:rsidRPr="00983DBA">
        <w:rPr>
          <w:rFonts w:asciiTheme="majorHAnsi" w:eastAsiaTheme="majorEastAsia" w:hAnsiTheme="majorHAnsi" w:cstheme="majorBidi"/>
          <w:color w:val="000000" w:themeColor="text1"/>
          <w:sz w:val="24"/>
          <w:szCs w:val="24"/>
          <w:lang w:val="en-IN"/>
        </w:rPr>
        <w:br/>
        <w:t>Classification: Confidential – Internal Use Only</w:t>
      </w:r>
    </w:p>
    <w:p w14:paraId="35624321" w14:textId="602CEA52" w:rsidR="001048F1" w:rsidRPr="00983DBA" w:rsidRDefault="001048F1" w:rsidP="00983DBA">
      <w:pPr>
        <w:rPr>
          <w:rFonts w:asciiTheme="majorHAnsi" w:eastAsiaTheme="majorEastAsia" w:hAnsiTheme="majorHAnsi" w:cstheme="majorBidi"/>
          <w:color w:val="000000" w:themeColor="text1"/>
          <w:sz w:val="24"/>
          <w:szCs w:val="24"/>
          <w:lang w:val="en-IN"/>
        </w:rPr>
      </w:pPr>
      <w:r>
        <w:rPr>
          <w:noProof/>
        </w:rPr>
        <w:drawing>
          <wp:inline distT="0" distB="0" distL="0" distR="0" wp14:anchorId="4F1519CC" wp14:editId="1C6B6C78">
            <wp:extent cx="4513580" cy="3007360"/>
            <wp:effectExtent l="0" t="0" r="1270" b="2540"/>
            <wp:docPr id="242805116" name="Picture 1" descr="Streamlining HR Operations with Document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eamlining HR Operations with Document Scan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580" cy="3007360"/>
                    </a:xfrm>
                    <a:prstGeom prst="rect">
                      <a:avLst/>
                    </a:prstGeom>
                    <a:noFill/>
                    <a:ln>
                      <a:noFill/>
                    </a:ln>
                  </pic:spPr>
                </pic:pic>
              </a:graphicData>
            </a:graphic>
          </wp:inline>
        </w:drawing>
      </w:r>
    </w:p>
    <w:p w14:paraId="10ADAA4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1871E7BB">
          <v:rect id="_x0000_i1025" style="width:0;height:1.5pt" o:hralign="center" o:hrstd="t" o:hr="t" fillcolor="#a0a0a0" stroked="f"/>
        </w:pict>
      </w:r>
    </w:p>
    <w:p w14:paraId="716957A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1. Objective</w:t>
      </w:r>
    </w:p>
    <w:p w14:paraId="71548BE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establishes a standardized, legally compliant, and auditable onboarding framework for all new hires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objective is to ensure timely statutory registration, background verification, information security clearance, role readiness, and cultural integration in accordance with the Industrial Employment (Standing Orders) Act, 1946, the Information Technology Act, 2000, the Employees’ Provident Funds and Miscellaneous Provisions Act, 1952, the Employees’ State Insurance Act, 1948, and applicable State Shops and Establishments Acts.</w:t>
      </w:r>
    </w:p>
    <w:p w14:paraId="53887FB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64D3B711">
          <v:rect id="_x0000_i1026" style="width:0;height:1.5pt" o:hralign="center" o:hrstd="t" o:hr="t" fillcolor="#a0a0a0" stroked="f"/>
        </w:pict>
      </w:r>
    </w:p>
    <w:p w14:paraId="3698D5D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2. Scope</w:t>
      </w:r>
    </w:p>
    <w:p w14:paraId="204F853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applies to all permanent, fixed-term, and contractual employees with an engagement period exceeding 90 calendar days, across all business units, grades (G1–G10), and locations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policy is administered by the Human Resources Department under the authority of the Chief Human Resources Officer (CHRO) and is subject to operational oversight by the Chief Information Security Officer (CISO) and Business Unit Heads (BUH).</w:t>
      </w:r>
    </w:p>
    <w:p w14:paraId="25B5B9F0"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922E19E">
          <v:rect id="_x0000_i1027" style="width:0;height:1.5pt" o:hralign="center" o:hrstd="t" o:hr="t" fillcolor="#a0a0a0" stroked="f"/>
        </w:pict>
      </w:r>
    </w:p>
    <w:p w14:paraId="47AAFFC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3. Definitions</w:t>
      </w:r>
    </w:p>
    <w:p w14:paraId="062476F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3.1 </w:t>
      </w:r>
      <w:r w:rsidRPr="00983DBA">
        <w:rPr>
          <w:rFonts w:asciiTheme="majorHAnsi" w:eastAsiaTheme="majorEastAsia" w:hAnsiTheme="majorHAnsi" w:cstheme="majorBidi"/>
          <w:i/>
          <w:iCs/>
          <w:color w:val="000000" w:themeColor="text1"/>
          <w:sz w:val="24"/>
          <w:szCs w:val="24"/>
          <w:lang w:val="en-IN"/>
        </w:rPr>
        <w:t>Date of Joining (</w:t>
      </w:r>
      <w:proofErr w:type="spellStart"/>
      <w:r w:rsidRPr="00983DBA">
        <w:rPr>
          <w:rFonts w:asciiTheme="majorHAnsi" w:eastAsiaTheme="majorEastAsia" w:hAnsiTheme="majorHAnsi" w:cstheme="majorBidi"/>
          <w:i/>
          <w:iCs/>
          <w:color w:val="000000" w:themeColor="text1"/>
          <w:sz w:val="24"/>
          <w:szCs w:val="24"/>
          <w:lang w:val="en-IN"/>
        </w:rPr>
        <w:t>DoJ</w:t>
      </w:r>
      <w:proofErr w:type="spellEnd"/>
      <w:r w:rsidRPr="00983DBA">
        <w:rPr>
          <w:rFonts w:asciiTheme="majorHAnsi" w:eastAsiaTheme="majorEastAsia" w:hAnsiTheme="majorHAnsi" w:cstheme="majorBidi"/>
          <w:i/>
          <w:iCs/>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t xml:space="preserve"> The first working day as per the issued offer letter.</w:t>
      </w:r>
      <w:r w:rsidRPr="00983DBA">
        <w:rPr>
          <w:rFonts w:asciiTheme="majorHAnsi" w:eastAsiaTheme="majorEastAsia" w:hAnsiTheme="majorHAnsi" w:cstheme="majorBidi"/>
          <w:color w:val="000000" w:themeColor="text1"/>
          <w:sz w:val="24"/>
          <w:szCs w:val="24"/>
          <w:lang w:val="en-IN"/>
        </w:rPr>
        <w:br/>
        <w:t xml:space="preserve">3.2 </w:t>
      </w:r>
      <w:r w:rsidRPr="00983DBA">
        <w:rPr>
          <w:rFonts w:asciiTheme="majorHAnsi" w:eastAsiaTheme="majorEastAsia" w:hAnsiTheme="majorHAnsi" w:cstheme="majorBidi"/>
          <w:i/>
          <w:iCs/>
          <w:color w:val="000000" w:themeColor="text1"/>
          <w:sz w:val="24"/>
          <w:szCs w:val="24"/>
          <w:lang w:val="en-IN"/>
        </w:rPr>
        <w:t>Background Verification (BGV):</w:t>
      </w:r>
      <w:r w:rsidRPr="00983DBA">
        <w:rPr>
          <w:rFonts w:asciiTheme="majorHAnsi" w:eastAsiaTheme="majorEastAsia" w:hAnsiTheme="majorHAnsi" w:cstheme="majorBidi"/>
          <w:color w:val="000000" w:themeColor="text1"/>
          <w:sz w:val="24"/>
          <w:szCs w:val="24"/>
          <w:lang w:val="en-IN"/>
        </w:rPr>
        <w:t xml:space="preserve"> Verification of identity, education, employment history, and criminal records through an approved third-party agency.</w:t>
      </w:r>
      <w:r w:rsidRPr="00983DBA">
        <w:rPr>
          <w:rFonts w:asciiTheme="majorHAnsi" w:eastAsiaTheme="majorEastAsia" w:hAnsiTheme="majorHAnsi" w:cstheme="majorBidi"/>
          <w:color w:val="000000" w:themeColor="text1"/>
          <w:sz w:val="24"/>
          <w:szCs w:val="24"/>
          <w:lang w:val="en-IN"/>
        </w:rPr>
        <w:br/>
        <w:t xml:space="preserve">3.3 </w:t>
      </w:r>
      <w:r w:rsidRPr="00983DBA">
        <w:rPr>
          <w:rFonts w:asciiTheme="majorHAnsi" w:eastAsiaTheme="majorEastAsia" w:hAnsiTheme="majorHAnsi" w:cstheme="majorBidi"/>
          <w:i/>
          <w:iCs/>
          <w:color w:val="000000" w:themeColor="text1"/>
          <w:sz w:val="24"/>
          <w:szCs w:val="24"/>
          <w:lang w:val="en-IN"/>
        </w:rPr>
        <w:t>Probation:</w:t>
      </w:r>
      <w:r w:rsidRPr="00983DBA">
        <w:rPr>
          <w:rFonts w:asciiTheme="majorHAnsi" w:eastAsiaTheme="majorEastAsia" w:hAnsiTheme="majorHAnsi" w:cstheme="majorBidi"/>
          <w:color w:val="000000" w:themeColor="text1"/>
          <w:sz w:val="24"/>
          <w:szCs w:val="24"/>
          <w:lang w:val="en-IN"/>
        </w:rPr>
        <w:t xml:space="preserve"> Initial employment period as defined in the appointment letter, normally 90 days unless otherwise specified.</w:t>
      </w:r>
      <w:r w:rsidRPr="00983DBA">
        <w:rPr>
          <w:rFonts w:asciiTheme="majorHAnsi" w:eastAsiaTheme="majorEastAsia" w:hAnsiTheme="majorHAnsi" w:cstheme="majorBidi"/>
          <w:color w:val="000000" w:themeColor="text1"/>
          <w:sz w:val="24"/>
          <w:szCs w:val="24"/>
          <w:lang w:val="en-IN"/>
        </w:rPr>
        <w:br/>
        <w:t xml:space="preserve">3.4 </w:t>
      </w:r>
      <w:r w:rsidRPr="00983DBA">
        <w:rPr>
          <w:rFonts w:asciiTheme="majorHAnsi" w:eastAsiaTheme="majorEastAsia" w:hAnsiTheme="majorHAnsi" w:cstheme="majorBidi"/>
          <w:i/>
          <w:iCs/>
          <w:color w:val="000000" w:themeColor="text1"/>
          <w:sz w:val="24"/>
          <w:szCs w:val="24"/>
          <w:lang w:val="en-IN"/>
        </w:rPr>
        <w:t>Role Readiness:</w:t>
      </w:r>
      <w:r w:rsidRPr="00983DBA">
        <w:rPr>
          <w:rFonts w:asciiTheme="majorHAnsi" w:eastAsiaTheme="majorEastAsia" w:hAnsiTheme="majorHAnsi" w:cstheme="majorBidi"/>
          <w:color w:val="000000" w:themeColor="text1"/>
          <w:sz w:val="24"/>
          <w:szCs w:val="24"/>
          <w:lang w:val="en-IN"/>
        </w:rPr>
        <w:t xml:space="preserve"> Completion of mandatory induction, system access, and compliance training.</w:t>
      </w:r>
    </w:p>
    <w:p w14:paraId="3FF41E7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3A362717">
          <v:rect id="_x0000_i1028" style="width:0;height:1.5pt" o:hralign="center" o:hrstd="t" o:hr="t" fillcolor="#a0a0a0" stroked="f"/>
        </w:pict>
      </w:r>
    </w:p>
    <w:p w14:paraId="1340D0E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 Onboarding Framework</w:t>
      </w:r>
    </w:p>
    <w:p w14:paraId="389B37C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4.1 Offer and Pre-Joining Formalities</w:t>
      </w:r>
      <w:r w:rsidRPr="00983DBA">
        <w:rPr>
          <w:rFonts w:asciiTheme="majorHAnsi" w:eastAsiaTheme="majorEastAsia" w:hAnsiTheme="majorHAnsi" w:cstheme="majorBidi"/>
          <w:color w:val="000000" w:themeColor="text1"/>
          <w:sz w:val="24"/>
          <w:szCs w:val="24"/>
          <w:lang w:val="en-IN"/>
        </w:rPr>
        <w:br/>
        <w:t>4.1.1 Final offer letters shall be issued within 48 hours of selection approval by the BUH and countersigned by the CHRO.</w:t>
      </w:r>
      <w:r w:rsidRPr="00983DBA">
        <w:rPr>
          <w:rFonts w:asciiTheme="majorHAnsi" w:eastAsiaTheme="majorEastAsia" w:hAnsiTheme="majorHAnsi" w:cstheme="majorBidi"/>
          <w:color w:val="000000" w:themeColor="text1"/>
          <w:sz w:val="24"/>
          <w:szCs w:val="24"/>
          <w:lang w:val="en-IN"/>
        </w:rPr>
        <w:br/>
        <w:t xml:space="preserve">4.1.2 All statutory documents (Aadhaar, PAN, bank details, educational certificates) shall be submitted at least 7 calendar days prior to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p>
    <w:p w14:paraId="35B7FC4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4.2 Statutory Registration</w:t>
      </w:r>
      <w:r w:rsidRPr="00983DBA">
        <w:rPr>
          <w:rFonts w:asciiTheme="majorHAnsi" w:eastAsiaTheme="majorEastAsia" w:hAnsiTheme="majorHAnsi" w:cstheme="majorBidi"/>
          <w:color w:val="000000" w:themeColor="text1"/>
          <w:sz w:val="24"/>
          <w:szCs w:val="24"/>
          <w:lang w:val="en-IN"/>
        </w:rPr>
        <w:br/>
        <w:t xml:space="preserve">4.2.1 Employees shall be enrolled under EPF and ESI, as applicable, within 7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4.2.2 Delays beyond 14 days shall be escalated to the CFO and reported in the quarterly statutory compliance audit.</w:t>
      </w:r>
    </w:p>
    <w:p w14:paraId="6E55021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4.3 Background Verification</w:t>
      </w:r>
      <w:r w:rsidRPr="00983DBA">
        <w:rPr>
          <w:rFonts w:asciiTheme="majorHAnsi" w:eastAsiaTheme="majorEastAsia" w:hAnsiTheme="majorHAnsi" w:cstheme="majorBidi"/>
          <w:color w:val="000000" w:themeColor="text1"/>
          <w:sz w:val="24"/>
          <w:szCs w:val="24"/>
          <w:lang w:val="en-IN"/>
        </w:rPr>
        <w:br/>
        <w:t xml:space="preserve">4.3.1 BGV shall be initiated on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 xml:space="preserve"> and completed within 15 calendar days.</w:t>
      </w:r>
      <w:r w:rsidRPr="00983DBA">
        <w:rPr>
          <w:rFonts w:asciiTheme="majorHAnsi" w:eastAsiaTheme="majorEastAsia" w:hAnsiTheme="majorHAnsi" w:cstheme="majorBidi"/>
          <w:color w:val="000000" w:themeColor="text1"/>
          <w:sz w:val="24"/>
          <w:szCs w:val="24"/>
          <w:lang w:val="en-IN"/>
        </w:rPr>
        <w:br/>
      </w:r>
      <w:r w:rsidRPr="00983DBA">
        <w:rPr>
          <w:rFonts w:asciiTheme="majorHAnsi" w:eastAsiaTheme="majorEastAsia" w:hAnsiTheme="majorHAnsi" w:cstheme="majorBidi"/>
          <w:color w:val="000000" w:themeColor="text1"/>
          <w:sz w:val="24"/>
          <w:szCs w:val="24"/>
          <w:lang w:val="en-IN"/>
        </w:rPr>
        <w:lastRenderedPageBreak/>
        <w:t>4.3.2 Adverse findings not resolved within 30 days may result in suspension of employment under Termination and Suspension Policy (HR-POL-005), Clause 4.3.</w:t>
      </w:r>
    </w:p>
    <w:p w14:paraId="4E3EC45D"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4.4 IT and Security Enablement</w:t>
      </w:r>
      <w:r w:rsidRPr="00983DBA">
        <w:rPr>
          <w:rFonts w:asciiTheme="majorHAnsi" w:eastAsiaTheme="majorEastAsia" w:hAnsiTheme="majorHAnsi" w:cstheme="majorBidi"/>
          <w:color w:val="000000" w:themeColor="text1"/>
          <w:sz w:val="24"/>
          <w:szCs w:val="24"/>
          <w:lang w:val="en-IN"/>
        </w:rPr>
        <w:br/>
        <w:t xml:space="preserve">4.4.1 Secure laptop, official email ID, VPN, and multi-factor authentication shall be provisioned within 2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4.4.2 Access to confidential or client systems requires clearance from the CISO and completion of Information Security training.</w:t>
      </w:r>
    </w:p>
    <w:p w14:paraId="58FFF5A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4.5 Induction and Training</w:t>
      </w:r>
      <w:r w:rsidRPr="00983DBA">
        <w:rPr>
          <w:rFonts w:asciiTheme="majorHAnsi" w:eastAsiaTheme="majorEastAsia" w:hAnsiTheme="majorHAnsi" w:cstheme="majorBidi"/>
          <w:color w:val="000000" w:themeColor="text1"/>
          <w:sz w:val="24"/>
          <w:szCs w:val="24"/>
          <w:lang w:val="en-IN"/>
        </w:rPr>
        <w:br/>
        <w:t>4.5.1 Mandatory induction shall consist of a minimum of 16 hours of classroom sessions and 8 hours of e-learning within the first 14 days.</w:t>
      </w:r>
      <w:r w:rsidRPr="00983DBA">
        <w:rPr>
          <w:rFonts w:asciiTheme="majorHAnsi" w:eastAsiaTheme="majorEastAsia" w:hAnsiTheme="majorHAnsi" w:cstheme="majorBidi"/>
          <w:color w:val="000000" w:themeColor="text1"/>
          <w:sz w:val="24"/>
          <w:szCs w:val="24"/>
          <w:lang w:val="en-IN"/>
        </w:rPr>
        <w:br/>
        <w:t>4.5.2 A minimum assessment score of 70% is required for certification of completion.</w:t>
      </w:r>
    </w:p>
    <w:p w14:paraId="6E81028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4.6 Probation Review and Confirmation</w:t>
      </w:r>
      <w:r w:rsidRPr="00983DBA">
        <w:rPr>
          <w:rFonts w:asciiTheme="majorHAnsi" w:eastAsiaTheme="majorEastAsia" w:hAnsiTheme="majorHAnsi" w:cstheme="majorBidi"/>
          <w:color w:val="000000" w:themeColor="text1"/>
          <w:sz w:val="24"/>
          <w:szCs w:val="24"/>
          <w:lang w:val="en-IN"/>
        </w:rPr>
        <w:br/>
        <w:t>4.6.1 At the end of 90 days, probation review shall be conducted in alignment with Performance Appraisal Policy (HR-POL-006), Clause 4.1.</w:t>
      </w:r>
      <w:r w:rsidRPr="00983DBA">
        <w:rPr>
          <w:rFonts w:asciiTheme="majorHAnsi" w:eastAsiaTheme="majorEastAsia" w:hAnsiTheme="majorHAnsi" w:cstheme="majorBidi"/>
          <w:color w:val="000000" w:themeColor="text1"/>
          <w:sz w:val="24"/>
          <w:szCs w:val="24"/>
          <w:lang w:val="en-IN"/>
        </w:rPr>
        <w:br/>
        <w:t>4.6.2 Confirmation requires joint approval of the Reporting Manager, BUH, and HR Business Partner.</w:t>
      </w:r>
    </w:p>
    <w:p w14:paraId="6649F716"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A867C24">
          <v:rect id="_x0000_i1029" style="width:0;height:1.5pt" o:hralign="center" o:hrstd="t" o:hr="t" fillcolor="#a0a0a0" stroked="f"/>
        </w:pict>
      </w:r>
    </w:p>
    <w:p w14:paraId="3E98FA4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5.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6694"/>
      </w:tblGrid>
      <w:tr w:rsidR="00983DBA" w:rsidRPr="00983DBA" w14:paraId="2BB98CB4" w14:textId="77777777" w:rsidTr="005E3017">
        <w:trPr>
          <w:tblHeader/>
          <w:tblCellSpacing w:w="15" w:type="dxa"/>
        </w:trPr>
        <w:tc>
          <w:tcPr>
            <w:tcW w:w="0" w:type="auto"/>
            <w:vAlign w:val="center"/>
            <w:hideMark/>
          </w:tcPr>
          <w:p w14:paraId="0DC7711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w:t>
            </w:r>
          </w:p>
        </w:tc>
        <w:tc>
          <w:tcPr>
            <w:tcW w:w="0" w:type="auto"/>
            <w:vAlign w:val="center"/>
            <w:hideMark/>
          </w:tcPr>
          <w:p w14:paraId="3749F7F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Responsibility</w:t>
            </w:r>
          </w:p>
        </w:tc>
      </w:tr>
      <w:tr w:rsidR="00983DBA" w:rsidRPr="00983DBA" w14:paraId="01A64191" w14:textId="77777777" w:rsidTr="005E3017">
        <w:trPr>
          <w:tblCellSpacing w:w="15" w:type="dxa"/>
        </w:trPr>
        <w:tc>
          <w:tcPr>
            <w:tcW w:w="0" w:type="auto"/>
            <w:vAlign w:val="center"/>
            <w:hideMark/>
          </w:tcPr>
          <w:p w14:paraId="0857990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CHRO</w:t>
            </w:r>
          </w:p>
        </w:tc>
        <w:tc>
          <w:tcPr>
            <w:tcW w:w="0" w:type="auto"/>
            <w:vAlign w:val="center"/>
            <w:hideMark/>
          </w:tcPr>
          <w:p w14:paraId="2397626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Policy ownership, statutory compliance, final confirmation approval</w:t>
            </w:r>
          </w:p>
        </w:tc>
      </w:tr>
      <w:tr w:rsidR="00983DBA" w:rsidRPr="00983DBA" w14:paraId="5A1531C8" w14:textId="77777777" w:rsidTr="005E3017">
        <w:trPr>
          <w:tblCellSpacing w:w="15" w:type="dxa"/>
        </w:trPr>
        <w:tc>
          <w:tcPr>
            <w:tcW w:w="0" w:type="auto"/>
            <w:vAlign w:val="center"/>
            <w:hideMark/>
          </w:tcPr>
          <w:p w14:paraId="622E03B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BUH</w:t>
            </w:r>
          </w:p>
        </w:tc>
        <w:tc>
          <w:tcPr>
            <w:tcW w:w="0" w:type="auto"/>
            <w:vAlign w:val="center"/>
            <w:hideMark/>
          </w:tcPr>
          <w:p w14:paraId="1A5215A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 assignment, probation evaluation</w:t>
            </w:r>
          </w:p>
        </w:tc>
      </w:tr>
      <w:tr w:rsidR="00983DBA" w:rsidRPr="00983DBA" w14:paraId="06BEFB79" w14:textId="77777777" w:rsidTr="005E3017">
        <w:trPr>
          <w:tblCellSpacing w:w="15" w:type="dxa"/>
        </w:trPr>
        <w:tc>
          <w:tcPr>
            <w:tcW w:w="0" w:type="auto"/>
            <w:vAlign w:val="center"/>
            <w:hideMark/>
          </w:tcPr>
          <w:p w14:paraId="7A23B3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CISO</w:t>
            </w:r>
          </w:p>
        </w:tc>
        <w:tc>
          <w:tcPr>
            <w:tcW w:w="0" w:type="auto"/>
            <w:vAlign w:val="center"/>
            <w:hideMark/>
          </w:tcPr>
          <w:p w14:paraId="46AA1A4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Security clearance, access authorization</w:t>
            </w:r>
          </w:p>
        </w:tc>
      </w:tr>
      <w:tr w:rsidR="00983DBA" w:rsidRPr="00983DBA" w14:paraId="46BDF9CD" w14:textId="77777777" w:rsidTr="005E3017">
        <w:trPr>
          <w:tblCellSpacing w:w="15" w:type="dxa"/>
        </w:trPr>
        <w:tc>
          <w:tcPr>
            <w:tcW w:w="0" w:type="auto"/>
            <w:vAlign w:val="center"/>
            <w:hideMark/>
          </w:tcPr>
          <w:p w14:paraId="67C2171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HR Operations</w:t>
            </w:r>
          </w:p>
        </w:tc>
        <w:tc>
          <w:tcPr>
            <w:tcW w:w="0" w:type="auto"/>
            <w:vAlign w:val="center"/>
            <w:hideMark/>
          </w:tcPr>
          <w:p w14:paraId="1BFCA7CC"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Documentation, statutory registration, induction coordination</w:t>
            </w:r>
          </w:p>
        </w:tc>
      </w:tr>
    </w:tbl>
    <w:p w14:paraId="01250C43"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455424D">
          <v:rect id="_x0000_i1030" style="width:0;height:1.5pt" o:hralign="center" o:hrstd="t" o:hr="t" fillcolor="#a0a0a0" stroked="f"/>
        </w:pict>
      </w:r>
    </w:p>
    <w:p w14:paraId="0554113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 Non-Compliance and Corrective Actions</w:t>
      </w:r>
    </w:p>
    <w:p w14:paraId="0524A7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6.1 Failure to complete statutory registration, BGV, or security clearance within prescribed timelines shall result in withholding of confirmation.</w:t>
      </w:r>
      <w:r w:rsidRPr="00983DBA">
        <w:rPr>
          <w:rFonts w:asciiTheme="majorHAnsi" w:eastAsiaTheme="majorEastAsia" w:hAnsiTheme="majorHAnsi" w:cstheme="majorBidi"/>
          <w:color w:val="000000" w:themeColor="text1"/>
          <w:sz w:val="24"/>
          <w:szCs w:val="24"/>
          <w:lang w:val="en-IN"/>
        </w:rPr>
        <w:br/>
        <w:t>6.2 Misrepresentation of credentials or suppression of material information shall constitute gross misconduct and may lead to termination under HR-POL-005, Clause 4.2.</w:t>
      </w:r>
    </w:p>
    <w:p w14:paraId="6A39990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75DD59EA">
          <v:rect id="_x0000_i1031" style="width:0;height:1.5pt" o:hralign="center" o:hrstd="t" o:hr="t" fillcolor="#a0a0a0" stroked="f"/>
        </w:pict>
      </w:r>
    </w:p>
    <w:p w14:paraId="3EB10B8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 Cross-Policy Dependencies</w:t>
      </w:r>
    </w:p>
    <w:p w14:paraId="2913D1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7.1 Performance Management: Probation evaluation and confirmation are governed by HR-POL-006.</w:t>
      </w:r>
      <w:r w:rsidRPr="00983DBA">
        <w:rPr>
          <w:rFonts w:asciiTheme="majorHAnsi" w:eastAsiaTheme="majorEastAsia" w:hAnsiTheme="majorHAnsi" w:cstheme="majorBidi"/>
          <w:color w:val="000000" w:themeColor="text1"/>
          <w:sz w:val="24"/>
          <w:szCs w:val="24"/>
          <w:lang w:val="en-IN"/>
        </w:rPr>
        <w:br/>
        <w:t>7.2 Leave Eligibility: Leave during probation shall be regulated by Leave Policy (HR-POL-008), Clause 3.1.</w:t>
      </w:r>
      <w:r w:rsidRPr="00983DBA">
        <w:rPr>
          <w:rFonts w:asciiTheme="majorHAnsi" w:eastAsiaTheme="majorEastAsia" w:hAnsiTheme="majorHAnsi" w:cstheme="majorBidi"/>
          <w:color w:val="000000" w:themeColor="text1"/>
          <w:sz w:val="24"/>
          <w:szCs w:val="24"/>
          <w:lang w:val="en-IN"/>
        </w:rPr>
        <w:br/>
        <w:t>7.3 Remote Work: Employees on probation are not eligible for remote work as per HR-POL-009, Clause 3.1.</w:t>
      </w:r>
      <w:r w:rsidRPr="00983DBA">
        <w:rPr>
          <w:rFonts w:asciiTheme="majorHAnsi" w:eastAsiaTheme="majorEastAsia" w:hAnsiTheme="majorHAnsi" w:cstheme="majorBidi"/>
          <w:color w:val="000000" w:themeColor="text1"/>
          <w:sz w:val="24"/>
          <w:szCs w:val="24"/>
          <w:lang w:val="en-IN"/>
        </w:rPr>
        <w:br/>
        <w:t>7.4 Information Security: Access and data handling obligations are governed by the IT Security Policy and HR-POL-005 in case of violations.</w:t>
      </w:r>
    </w:p>
    <w:p w14:paraId="7858C95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7CF4CF6">
          <v:rect id="_x0000_i1032" style="width:0;height:1.5pt" o:hralign="center" o:hrstd="t" o:hr="t" fillcolor="#a0a0a0" stroked="f"/>
        </w:pict>
      </w:r>
    </w:p>
    <w:p w14:paraId="01318832"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8. Record Retention and Audit</w:t>
      </w:r>
    </w:p>
    <w:p w14:paraId="64429B7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8.1 Onboarding records, including offer letters, BGV reports, and statutory </w:t>
      </w:r>
      <w:proofErr w:type="spellStart"/>
      <w:r w:rsidRPr="00983DBA">
        <w:rPr>
          <w:rFonts w:asciiTheme="majorHAnsi" w:eastAsiaTheme="majorEastAsia" w:hAnsiTheme="majorHAnsi" w:cstheme="majorBidi"/>
          <w:color w:val="000000" w:themeColor="text1"/>
          <w:sz w:val="24"/>
          <w:szCs w:val="24"/>
          <w:lang w:val="en-IN"/>
        </w:rPr>
        <w:t>enrollment</w:t>
      </w:r>
      <w:proofErr w:type="spellEnd"/>
      <w:r w:rsidRPr="00983DBA">
        <w:rPr>
          <w:rFonts w:asciiTheme="majorHAnsi" w:eastAsiaTheme="majorEastAsia" w:hAnsiTheme="majorHAnsi" w:cstheme="majorBidi"/>
          <w:color w:val="000000" w:themeColor="text1"/>
          <w:sz w:val="24"/>
          <w:szCs w:val="24"/>
          <w:lang w:val="en-IN"/>
        </w:rPr>
        <w:t xml:space="preserve"> proofs, shall be retained for a minimum of 7 years.</w:t>
      </w:r>
      <w:r w:rsidRPr="00983DBA">
        <w:rPr>
          <w:rFonts w:asciiTheme="majorHAnsi" w:eastAsiaTheme="majorEastAsia" w:hAnsiTheme="majorHAnsi" w:cstheme="majorBidi"/>
          <w:color w:val="000000" w:themeColor="text1"/>
          <w:sz w:val="24"/>
          <w:szCs w:val="24"/>
          <w:lang w:val="en-IN"/>
        </w:rPr>
        <w:br/>
        <w:t>8.2 Annual onboarding process audits shall be conducted by Internal Audit. Deviations exceeding 5% of total hires shall be reviewed by the Risk and Compliance Committee.</w:t>
      </w:r>
    </w:p>
    <w:p w14:paraId="6A51F725"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76C84305">
          <v:rect id="_x0000_i1033" style="width:0;height:1.5pt" o:hralign="center" o:hrstd="t" o:hr="t" fillcolor="#a0a0a0" stroked="f"/>
        </w:pict>
      </w:r>
    </w:p>
    <w:p w14:paraId="65833B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9. Enforcement</w:t>
      </w:r>
    </w:p>
    <w:p w14:paraId="768DACE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Any breach of onboarding procedures, falsification of documents, or violation of information security obligations shall invite disciplinary action up to and including termination of employment and initiation of legal proceedings, as deemed appropriate by the CHRO and Legal Department.</w:t>
      </w:r>
    </w:p>
    <w:p w14:paraId="607E99F2" w14:textId="77777777" w:rsidR="0045647F" w:rsidRPr="00983DBA" w:rsidRDefault="0045647F" w:rsidP="00983DBA">
      <w:pPr>
        <w:rPr>
          <w:color w:val="000000" w:themeColor="text1"/>
          <w:sz w:val="24"/>
          <w:szCs w:val="24"/>
        </w:rPr>
      </w:pPr>
    </w:p>
    <w:sectPr w:rsidR="0045647F" w:rsidRPr="00983DB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E723" w14:textId="77777777" w:rsidR="002E27D7" w:rsidRDefault="002E27D7">
      <w:pPr>
        <w:spacing w:after="0" w:line="240" w:lineRule="auto"/>
      </w:pPr>
      <w:r>
        <w:separator/>
      </w:r>
    </w:p>
  </w:endnote>
  <w:endnote w:type="continuationSeparator" w:id="0">
    <w:p w14:paraId="680224C3" w14:textId="77777777" w:rsidR="002E27D7" w:rsidRDefault="002E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B927" w14:textId="77777777" w:rsidR="004D178C"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AEE5" w14:textId="77777777" w:rsidR="002E27D7" w:rsidRDefault="002E27D7">
      <w:pPr>
        <w:spacing w:after="0" w:line="240" w:lineRule="auto"/>
      </w:pPr>
      <w:r>
        <w:separator/>
      </w:r>
    </w:p>
  </w:footnote>
  <w:footnote w:type="continuationSeparator" w:id="0">
    <w:p w14:paraId="3EAABABE" w14:textId="77777777" w:rsidR="002E27D7" w:rsidRDefault="002E2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443829">
    <w:abstractNumId w:val="8"/>
  </w:num>
  <w:num w:numId="2" w16cid:durableId="2037076666">
    <w:abstractNumId w:val="6"/>
  </w:num>
  <w:num w:numId="3" w16cid:durableId="269165452">
    <w:abstractNumId w:val="5"/>
  </w:num>
  <w:num w:numId="4" w16cid:durableId="682436929">
    <w:abstractNumId w:val="4"/>
  </w:num>
  <w:num w:numId="5" w16cid:durableId="518201428">
    <w:abstractNumId w:val="7"/>
  </w:num>
  <w:num w:numId="6" w16cid:durableId="246115991">
    <w:abstractNumId w:val="3"/>
  </w:num>
  <w:num w:numId="7" w16cid:durableId="632831587">
    <w:abstractNumId w:val="2"/>
  </w:num>
  <w:num w:numId="8" w16cid:durableId="1406368869">
    <w:abstractNumId w:val="1"/>
  </w:num>
  <w:num w:numId="9" w16cid:durableId="128234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93"/>
    <w:rsid w:val="0006063C"/>
    <w:rsid w:val="00062020"/>
    <w:rsid w:val="001048F1"/>
    <w:rsid w:val="0015074B"/>
    <w:rsid w:val="001730C1"/>
    <w:rsid w:val="002319E5"/>
    <w:rsid w:val="0029639D"/>
    <w:rsid w:val="002A0F2E"/>
    <w:rsid w:val="002E27D7"/>
    <w:rsid w:val="00326F90"/>
    <w:rsid w:val="0036477D"/>
    <w:rsid w:val="0045647F"/>
    <w:rsid w:val="004D178C"/>
    <w:rsid w:val="005E3017"/>
    <w:rsid w:val="00644741"/>
    <w:rsid w:val="00646FB5"/>
    <w:rsid w:val="00917631"/>
    <w:rsid w:val="00983DBA"/>
    <w:rsid w:val="00A31E4E"/>
    <w:rsid w:val="00AA1D8D"/>
    <w:rsid w:val="00B47730"/>
    <w:rsid w:val="00CB0664"/>
    <w:rsid w:val="00D6554A"/>
    <w:rsid w:val="00F26647"/>
    <w:rsid w:val="00FC693F"/>
    <w:rsid w:val="00FE4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D2D0E"/>
  <w14:defaultImageDpi w14:val="300"/>
  <w15:docId w15:val="{E8CCA2D2-A4B3-405D-8044-8802EC8F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Shonraj Ballae</cp:lastModifiedBy>
  <cp:revision>7</cp:revision>
  <dcterms:created xsi:type="dcterms:W3CDTF">2013-12-23T23:15:00Z</dcterms:created>
  <dcterms:modified xsi:type="dcterms:W3CDTF">2026-03-31T06:28:00Z</dcterms:modified>
  <cp:category/>
</cp:coreProperties>
</file>