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D5A8" w14:textId="7B77CA9A" w:rsidR="004324FD" w:rsidRDefault="00BC2AD5">
      <w:pPr>
        <w:pStyle w:val="Heading1"/>
        <w:jc w:val="center"/>
      </w:pPr>
      <w:r>
        <w:rPr>
          <w:noProof/>
        </w:rPr>
        <w:drawing>
          <wp:inline distT="0" distB="0" distL="0" distR="0" wp14:anchorId="3DA467E9" wp14:editId="67333A1F">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32CA8C9A" w14:textId="3B365F0A" w:rsidR="00AD45C7" w:rsidRDefault="00000000">
      <w:pPr>
        <w:pStyle w:val="Heading1"/>
        <w:jc w:val="center"/>
      </w:pPr>
      <w:r>
        <w:t>ABC Solutions Pvt. Ltd.</w:t>
      </w:r>
    </w:p>
    <w:p w14:paraId="1F80C451" w14:textId="77777777" w:rsidR="00AD45C7" w:rsidRDefault="00000000">
      <w:r>
        <w:t>Document ID: HR-POL-006</w:t>
      </w:r>
      <w:r>
        <w:br/>
        <w:t>Version: 1.0</w:t>
      </w:r>
      <w:r>
        <w:br/>
        <w:t>Effective Date: January 1, 2026</w:t>
      </w:r>
      <w:r>
        <w:br/>
        <w:t>Title: Performance Appraisal Policy</w:t>
      </w:r>
      <w:r>
        <w:br/>
        <w:t>Classification: Confidential – Internal Use Only</w:t>
      </w:r>
      <w:r>
        <w:br/>
      </w:r>
    </w:p>
    <w:p w14:paraId="29F81F22" w14:textId="77777777" w:rsidR="00AD45C7" w:rsidRDefault="00000000">
      <w:pPr>
        <w:spacing w:after="160"/>
      </w:pPr>
      <w:r>
        <w:t>1. Objective</w:t>
      </w:r>
      <w:r>
        <w:br/>
        <w:t>This policy establishes a legally compliant, auditable, and metric-driven Performance Management System (PMS) for ABC Solutions Pvt. Ltd. The objective is to ensure fair evaluation, pay-for-performance alignment, promotion readiness assessment, and regulatory defensibility in accordance with the Industrial Employment (Standing Orders) Act, 1946, the Industrial Disputes Act, 1947, and applicable State Shops and Establishments Acts. The PMS shall provide traceable decision records for increments, bonuses, promotions, Performance Improvement Plans (PIP), and separations.</w:t>
      </w:r>
      <w:r>
        <w:br/>
      </w:r>
    </w:p>
    <w:p w14:paraId="2ECF2EAC" w14:textId="77777777" w:rsidR="00AD45C7" w:rsidRDefault="00000000">
      <w:pPr>
        <w:spacing w:after="160"/>
      </w:pPr>
      <w:r>
        <w:t>2. Scope</w:t>
      </w:r>
      <w:r>
        <w:br/>
        <w:t>This policy applies to all confirmed employees of ABC Solutions Pvt. Ltd. across all grades (G1 to G10), locations, and employment categories, excluding interns and apprentices governed under separate schemes. The policy is administered by the Human Resources Department under the authority of the Chief Human Resources Officer (CHRO) and is subject to oversight by the Performance Calibration Committee (PCC) chaired by the Chief Operating Officer (COO).</w:t>
      </w:r>
      <w:r>
        <w:br/>
      </w:r>
    </w:p>
    <w:p w14:paraId="5D3E55B9" w14:textId="77777777" w:rsidR="00AD45C7" w:rsidRDefault="00000000">
      <w:pPr>
        <w:spacing w:after="160"/>
      </w:pPr>
      <w:r>
        <w:t>3. Definitions</w:t>
      </w:r>
      <w:r>
        <w:br/>
        <w:t>3.1 Key Result Areas (KRAs): Quantifiable role objectives approved at the beginning of the appraisal cycle.</w:t>
      </w:r>
      <w:r>
        <w:br/>
        <w:t>3.2 Overall Performance Rating (OPR): Weighted composite score derived as per Clause 4.3.</w:t>
      </w:r>
      <w:r>
        <w:br/>
        <w:t>3.3 Calibration: A statistical and managerial normalization process to ensure inter-team rating parity.</w:t>
      </w:r>
      <w:r>
        <w:br/>
        <w:t xml:space="preserve">3.4 Performance Improvement Plan (PIP): A time-bound corrective program as defined in </w:t>
      </w:r>
      <w:r>
        <w:lastRenderedPageBreak/>
        <w:t>Clause 6.</w:t>
      </w:r>
      <w:r>
        <w:br/>
      </w:r>
    </w:p>
    <w:p w14:paraId="3B6B80DC" w14:textId="77777777" w:rsidR="00AD45C7" w:rsidRDefault="00000000">
      <w:pPr>
        <w:spacing w:after="160"/>
      </w:pPr>
      <w:r>
        <w:t>4. Appraisal Framework</w:t>
      </w:r>
      <w:r>
        <w:br/>
        <w:t>4.1 Review Cycle: The appraisal year shall run from 1 April to 31 March. A mandatory Mid-Year Review (MYR) shall be conducted between 1 October and 31 October, and the Annual Review (AR) between 1 April and 30 April of the subsequent year.</w:t>
      </w:r>
      <w:r>
        <w:br/>
        <w:t>4.2 Participants: Each employee shall be evaluated by a Reporting Manager (RM), Reviewing Manager (RVM), and calibrated by the PCC.</w:t>
      </w:r>
      <w:r>
        <w:br/>
        <w:t>4.3 Rating Computation:</w:t>
      </w:r>
      <w:r>
        <w:br/>
        <w:t>OPR = (KRAs × 0.60) + (Behavioral Competencies × 0.25) + (Compliance &amp; Risk Adherence × 0.15).</w:t>
      </w:r>
      <w:r>
        <w:br/>
        <w:t>KRAs shall be scored on a 5-point scale with a minimum achievement threshold of 70% for a rating of 3 (Meets Expectations).</w:t>
      </w:r>
      <w:r>
        <w:br/>
        <w:t>4.4 Bell Curve Controls: Distribution of OPR shall adhere to the following caps unless waived by the PCC with recorded justification:</w:t>
      </w:r>
      <w:r>
        <w:br/>
        <w:t>- Rating 5 (Outstanding): Maximum 20%</w:t>
      </w:r>
      <w:r>
        <w:br/>
        <w:t>- Rating 4 (Exceeds): Maximum 30%</w:t>
      </w:r>
      <w:r>
        <w:br/>
        <w:t>- Rating 3 (Meets): Minimum 30%</w:t>
      </w:r>
      <w:r>
        <w:br/>
        <w:t>- Rating 2 (Needs Improvement): Maximum 15%</w:t>
      </w:r>
      <w:r>
        <w:br/>
        <w:t>- Rating 1 (Unsatisfactory): Maximum 5%</w:t>
      </w:r>
      <w:r>
        <w:br/>
      </w:r>
    </w:p>
    <w:p w14:paraId="263B4BEB" w14:textId="77777777" w:rsidR="00AD45C7" w:rsidRDefault="00000000">
      <w:pPr>
        <w:spacing w:after="160"/>
      </w:pPr>
      <w:r>
        <w:t>5. Linkage to Compensation and Career Actions</w:t>
      </w:r>
      <w:r>
        <w:br/>
        <w:t>5.1 Annual Increment: Effective 1 July each year, linked to OPR as per Table 1.</w:t>
      </w:r>
      <w:r>
        <w:br/>
        <w:t>5.2 Variable Pay: Eligibility requires OPR ≥3 and Compliance Score ≥80%.</w:t>
      </w:r>
      <w:r>
        <w:br/>
        <w:t>5.3 Promotion Eligibility: Minimum OPR of 4 in two of the last three cycles and completion of mandatory training under Training &amp; Development Policy (HR-POL-004), Clause 3.1.</w:t>
      </w:r>
      <w:r>
        <w:br/>
        <w:t>5.4 Pay Freeze: OPR ≤2 results in zero increment and ineligibility for bonus for the cycle.</w:t>
      </w:r>
      <w:r>
        <w:br/>
      </w:r>
    </w:p>
    <w:p w14:paraId="4BDC4199" w14:textId="77777777" w:rsidR="00AD45C7" w:rsidRDefault="00000000">
      <w:pPr>
        <w:spacing w:after="160"/>
      </w:pPr>
      <w:r>
        <w:t>6. Performance Improvement Plan (PIP)</w:t>
      </w:r>
      <w:r>
        <w:br/>
        <w:t>6.1 Trigger: Employees receiving OPR ≤2 or Compliance Score below 60% shall be placed on PIP.</w:t>
      </w:r>
      <w:r>
        <w:br/>
        <w:t>6.2 Duration: Standard PIP duration is 90 calendar days, extendable once by 30 days with CHRO approval.</w:t>
      </w:r>
      <w:r>
        <w:br/>
        <w:t>6.3 Objectives: PIP goals must be SMART and approved by the RVM and HR Business Partner.</w:t>
      </w:r>
      <w:r>
        <w:br/>
        <w:t>6.4 Review: Bi-weekly documented reviews are mandatory.</w:t>
      </w:r>
      <w:r>
        <w:br/>
        <w:t>6.5 Failure: Failure to achieve at least 70% of PIP objectives shall constitute grounds for separation under Termination and Suspension Policy (HR-POL-005), Clause 3.2.</w:t>
      </w:r>
      <w:r>
        <w:br/>
      </w:r>
    </w:p>
    <w:p w14:paraId="5BCD7282" w14:textId="77777777" w:rsidR="00AD45C7" w:rsidRDefault="00000000">
      <w:pPr>
        <w:spacing w:after="160"/>
      </w:pPr>
      <w:r>
        <w:t>7. Grievance and Appeals</w:t>
      </w:r>
      <w:r>
        <w:br/>
        <w:t xml:space="preserve">7.1 Appeal Window: Employees may appeal their OPR within 10 working days of </w:t>
      </w:r>
      <w:r>
        <w:lastRenderedPageBreak/>
        <w:t>communication.</w:t>
      </w:r>
      <w:r>
        <w:br/>
        <w:t>7.2 Appellate Authority: A three-member Appraisal Review Panel comprising the CHRO (Chair), one PCC member, and one Independent HR Auditor.</w:t>
      </w:r>
      <w:r>
        <w:br/>
        <w:t>7.3 Decision Timeline: Appeals must be resolved within 30 working days. The Panel’s decision shall be final and binding.</w:t>
      </w:r>
      <w:r>
        <w:br/>
      </w:r>
    </w:p>
    <w:p w14:paraId="73AEBC97" w14:textId="77777777" w:rsidR="00AD45C7" w:rsidRDefault="00000000">
      <w:pPr>
        <w:spacing w:after="160"/>
      </w:pPr>
      <w:r>
        <w:t>8. Data Retention and Audit</w:t>
      </w:r>
      <w:r>
        <w:br/>
        <w:t>8.1 Record Retention: All appraisal forms, calibration notes, and PIP records shall be retained for 7 years in compliance with statutory limitation periods.</w:t>
      </w:r>
      <w:r>
        <w:br/>
        <w:t>8.2 Audit: Annual PMS audit shall be conducted by Internal Audit. Variance exceeding ±5% from approved bell curve distributions shall be reported to the Risk Management Committee.</w:t>
      </w:r>
      <w:r>
        <w:br/>
        <w:t>8.3 Confidentiality: PMS data shall be classified as Sensitive Personal Data under the Information Technology (Reasonable Security Practices and Procedures and Sensitive Personal Data or Information) Rules, 2011.</w:t>
      </w:r>
      <w:r>
        <w:br/>
      </w:r>
    </w:p>
    <w:p w14:paraId="1185E51E" w14:textId="77777777" w:rsidR="00AD45C7" w:rsidRDefault="00000000">
      <w:pPr>
        <w:spacing w:after="160"/>
      </w:pPr>
      <w:r>
        <w:t>9. Cross-Policy Dependencies</w:t>
      </w:r>
      <w:r>
        <w:br/>
        <w:t>9.1 Training Nomination: Employees rated 4 and above shall be prioritized for leadership programs under HR-POL-004, Clause 3.4.</w:t>
      </w:r>
      <w:r>
        <w:br/>
        <w:t>9.2 Leave and Attendance Impact: Unauthorized absence exceeding thresholds under Leave Policy (HR-POL-008), Clause 3.3 shall cap Compliance Score at 70%.</w:t>
      </w:r>
      <w:r>
        <w:br/>
        <w:t>9.3 Remote Work Eligibility: Employees with OPR below 3 are ineligible for remote work under HR-POL-009, Clause 3.1.</w:t>
      </w:r>
      <w:r>
        <w:br/>
        <w:t>9.4 Disciplinary Interface: Proven misconduct during appraisal cycle shall override performance scores and be governed by HR-POL-005.</w:t>
      </w:r>
      <w:r>
        <w:br/>
      </w:r>
    </w:p>
    <w:p w14:paraId="58B377E7" w14:textId="77777777" w:rsidR="00AD45C7" w:rsidRDefault="00000000">
      <w:pPr>
        <w:spacing w:after="160"/>
      </w:pPr>
      <w:r>
        <w:t>10. Enforcement</w:t>
      </w:r>
      <w:r>
        <w:br/>
        <w:t>Any falsification of performance data, manipulation of ratings, or breach of confidentiality shall invite disciplinary action up to and including termination and recovery of variable pay already disbursed.</w:t>
      </w:r>
    </w:p>
    <w:p w14:paraId="780BC81C" w14:textId="77777777" w:rsidR="00AD45C7" w:rsidRDefault="00000000">
      <w:r>
        <w:t>Table 1: Increment and Bonus Eligibility Matrix</w:t>
      </w:r>
    </w:p>
    <w:tbl>
      <w:tblPr>
        <w:tblStyle w:val="TableGrid"/>
        <w:tblW w:w="0" w:type="auto"/>
        <w:tblLook w:val="04A0" w:firstRow="1" w:lastRow="0" w:firstColumn="1" w:lastColumn="0" w:noHBand="0" w:noVBand="1"/>
      </w:tblPr>
      <w:tblGrid>
        <w:gridCol w:w="2160"/>
        <w:gridCol w:w="2160"/>
        <w:gridCol w:w="2160"/>
        <w:gridCol w:w="2160"/>
      </w:tblGrid>
      <w:tr w:rsidR="00AD45C7" w14:paraId="64BE212F" w14:textId="77777777">
        <w:tc>
          <w:tcPr>
            <w:tcW w:w="2160" w:type="dxa"/>
          </w:tcPr>
          <w:p w14:paraId="7708C94A" w14:textId="77777777" w:rsidR="00AD45C7" w:rsidRDefault="00000000">
            <w:r>
              <w:t>OPR</w:t>
            </w:r>
          </w:p>
        </w:tc>
        <w:tc>
          <w:tcPr>
            <w:tcW w:w="2160" w:type="dxa"/>
          </w:tcPr>
          <w:p w14:paraId="271F041C" w14:textId="77777777" w:rsidR="00AD45C7" w:rsidRDefault="00000000">
            <w:r>
              <w:t>Increment Range (%)</w:t>
            </w:r>
          </w:p>
        </w:tc>
        <w:tc>
          <w:tcPr>
            <w:tcW w:w="2160" w:type="dxa"/>
          </w:tcPr>
          <w:p w14:paraId="6BED731F" w14:textId="77777777" w:rsidR="00AD45C7" w:rsidRDefault="00000000">
            <w:r>
              <w:t>Variable Pay Eligibility</w:t>
            </w:r>
          </w:p>
        </w:tc>
        <w:tc>
          <w:tcPr>
            <w:tcW w:w="2160" w:type="dxa"/>
          </w:tcPr>
          <w:p w14:paraId="0F665B02" w14:textId="77777777" w:rsidR="00AD45C7" w:rsidRDefault="00000000">
            <w:r>
              <w:t>Promotion Eligibility</w:t>
            </w:r>
          </w:p>
        </w:tc>
      </w:tr>
      <w:tr w:rsidR="00AD45C7" w14:paraId="0BFA3B75" w14:textId="77777777">
        <w:tc>
          <w:tcPr>
            <w:tcW w:w="2160" w:type="dxa"/>
          </w:tcPr>
          <w:p w14:paraId="6D0BF086" w14:textId="77777777" w:rsidR="00AD45C7" w:rsidRDefault="00000000">
            <w:r>
              <w:t>5</w:t>
            </w:r>
          </w:p>
        </w:tc>
        <w:tc>
          <w:tcPr>
            <w:tcW w:w="2160" w:type="dxa"/>
          </w:tcPr>
          <w:p w14:paraId="7E172675" w14:textId="77777777" w:rsidR="00AD45C7" w:rsidRDefault="00000000">
            <w:r>
              <w:t>15–20%</w:t>
            </w:r>
          </w:p>
        </w:tc>
        <w:tc>
          <w:tcPr>
            <w:tcW w:w="2160" w:type="dxa"/>
          </w:tcPr>
          <w:p w14:paraId="592B585A" w14:textId="77777777" w:rsidR="00AD45C7" w:rsidRDefault="00000000">
            <w:r>
              <w:t>100%</w:t>
            </w:r>
          </w:p>
        </w:tc>
        <w:tc>
          <w:tcPr>
            <w:tcW w:w="2160" w:type="dxa"/>
          </w:tcPr>
          <w:p w14:paraId="6EE96CA7" w14:textId="77777777" w:rsidR="00AD45C7" w:rsidRDefault="00000000">
            <w:r>
              <w:t>Yes</w:t>
            </w:r>
          </w:p>
        </w:tc>
      </w:tr>
      <w:tr w:rsidR="00AD45C7" w14:paraId="502DC1B7" w14:textId="77777777">
        <w:tc>
          <w:tcPr>
            <w:tcW w:w="2160" w:type="dxa"/>
          </w:tcPr>
          <w:p w14:paraId="19C7A37D" w14:textId="77777777" w:rsidR="00AD45C7" w:rsidRDefault="00000000">
            <w:r>
              <w:t>4</w:t>
            </w:r>
          </w:p>
        </w:tc>
        <w:tc>
          <w:tcPr>
            <w:tcW w:w="2160" w:type="dxa"/>
          </w:tcPr>
          <w:p w14:paraId="1AD7BDCA" w14:textId="77777777" w:rsidR="00AD45C7" w:rsidRDefault="00000000">
            <w:r>
              <w:t>10–14%</w:t>
            </w:r>
          </w:p>
        </w:tc>
        <w:tc>
          <w:tcPr>
            <w:tcW w:w="2160" w:type="dxa"/>
          </w:tcPr>
          <w:p w14:paraId="6198BDE1" w14:textId="77777777" w:rsidR="00AD45C7" w:rsidRDefault="00000000">
            <w:r>
              <w:t>80%</w:t>
            </w:r>
          </w:p>
        </w:tc>
        <w:tc>
          <w:tcPr>
            <w:tcW w:w="2160" w:type="dxa"/>
          </w:tcPr>
          <w:p w14:paraId="3BB9563A" w14:textId="77777777" w:rsidR="00AD45C7" w:rsidRDefault="00000000">
            <w:r>
              <w:t>Yes</w:t>
            </w:r>
          </w:p>
        </w:tc>
      </w:tr>
      <w:tr w:rsidR="00AD45C7" w14:paraId="484EF9C5" w14:textId="77777777">
        <w:tc>
          <w:tcPr>
            <w:tcW w:w="2160" w:type="dxa"/>
          </w:tcPr>
          <w:p w14:paraId="066D70BC" w14:textId="77777777" w:rsidR="00AD45C7" w:rsidRDefault="00000000">
            <w:r>
              <w:t>3</w:t>
            </w:r>
          </w:p>
        </w:tc>
        <w:tc>
          <w:tcPr>
            <w:tcW w:w="2160" w:type="dxa"/>
          </w:tcPr>
          <w:p w14:paraId="2F8A9B50" w14:textId="77777777" w:rsidR="00AD45C7" w:rsidRDefault="00000000">
            <w:r>
              <w:t>6–9%</w:t>
            </w:r>
          </w:p>
        </w:tc>
        <w:tc>
          <w:tcPr>
            <w:tcW w:w="2160" w:type="dxa"/>
          </w:tcPr>
          <w:p w14:paraId="73751CAF" w14:textId="77777777" w:rsidR="00AD45C7" w:rsidRDefault="00000000">
            <w:r>
              <w:t>50%</w:t>
            </w:r>
          </w:p>
        </w:tc>
        <w:tc>
          <w:tcPr>
            <w:tcW w:w="2160" w:type="dxa"/>
          </w:tcPr>
          <w:p w14:paraId="6EDA507F" w14:textId="77777777" w:rsidR="00AD45C7" w:rsidRDefault="00000000">
            <w:r>
              <w:t>Conditional</w:t>
            </w:r>
          </w:p>
        </w:tc>
      </w:tr>
      <w:tr w:rsidR="00AD45C7" w14:paraId="2A3D9717" w14:textId="77777777">
        <w:tc>
          <w:tcPr>
            <w:tcW w:w="2160" w:type="dxa"/>
          </w:tcPr>
          <w:p w14:paraId="18D0C81F" w14:textId="77777777" w:rsidR="00AD45C7" w:rsidRDefault="00000000">
            <w:r>
              <w:t>2</w:t>
            </w:r>
          </w:p>
        </w:tc>
        <w:tc>
          <w:tcPr>
            <w:tcW w:w="2160" w:type="dxa"/>
          </w:tcPr>
          <w:p w14:paraId="1C9A00AA" w14:textId="77777777" w:rsidR="00AD45C7" w:rsidRDefault="00000000">
            <w:r>
              <w:t>0%</w:t>
            </w:r>
          </w:p>
        </w:tc>
        <w:tc>
          <w:tcPr>
            <w:tcW w:w="2160" w:type="dxa"/>
          </w:tcPr>
          <w:p w14:paraId="5B184476" w14:textId="77777777" w:rsidR="00AD45C7" w:rsidRDefault="00000000">
            <w:r>
              <w:t>0%</w:t>
            </w:r>
          </w:p>
        </w:tc>
        <w:tc>
          <w:tcPr>
            <w:tcW w:w="2160" w:type="dxa"/>
          </w:tcPr>
          <w:p w14:paraId="4D074061" w14:textId="77777777" w:rsidR="00AD45C7" w:rsidRDefault="00000000">
            <w:r>
              <w:t>No</w:t>
            </w:r>
          </w:p>
        </w:tc>
      </w:tr>
      <w:tr w:rsidR="00AD45C7" w14:paraId="67DCCD7D" w14:textId="77777777">
        <w:tc>
          <w:tcPr>
            <w:tcW w:w="2160" w:type="dxa"/>
          </w:tcPr>
          <w:p w14:paraId="17DA1CA2" w14:textId="77777777" w:rsidR="00AD45C7" w:rsidRDefault="00000000">
            <w:r>
              <w:t>1</w:t>
            </w:r>
          </w:p>
        </w:tc>
        <w:tc>
          <w:tcPr>
            <w:tcW w:w="2160" w:type="dxa"/>
          </w:tcPr>
          <w:p w14:paraId="25892D13" w14:textId="77777777" w:rsidR="00AD45C7" w:rsidRDefault="00000000">
            <w:r>
              <w:t>0%</w:t>
            </w:r>
          </w:p>
        </w:tc>
        <w:tc>
          <w:tcPr>
            <w:tcW w:w="2160" w:type="dxa"/>
          </w:tcPr>
          <w:p w14:paraId="1A92EA8D" w14:textId="77777777" w:rsidR="00AD45C7" w:rsidRDefault="00000000">
            <w:r>
              <w:t>0%</w:t>
            </w:r>
          </w:p>
        </w:tc>
        <w:tc>
          <w:tcPr>
            <w:tcW w:w="2160" w:type="dxa"/>
          </w:tcPr>
          <w:p w14:paraId="113CE2FD" w14:textId="77777777" w:rsidR="00AD45C7" w:rsidRDefault="00000000">
            <w:r>
              <w:t>No</w:t>
            </w:r>
          </w:p>
        </w:tc>
      </w:tr>
    </w:tbl>
    <w:p w14:paraId="1CC41C7D" w14:textId="77777777" w:rsidR="00DB3DBC" w:rsidRDefault="00DB3DBC"/>
    <w:sectPr w:rsidR="00DB3DBC"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8EF3" w14:textId="77777777" w:rsidR="00523BFB" w:rsidRDefault="00523BFB">
      <w:pPr>
        <w:spacing w:after="0" w:line="240" w:lineRule="auto"/>
      </w:pPr>
      <w:r>
        <w:separator/>
      </w:r>
    </w:p>
  </w:endnote>
  <w:endnote w:type="continuationSeparator" w:id="0">
    <w:p w14:paraId="13460D61" w14:textId="77777777" w:rsidR="00523BFB" w:rsidRDefault="0052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58E4" w14:textId="77777777" w:rsidR="00AD45C7" w:rsidRDefault="00000000">
    <w:pPr>
      <w:pStyle w:val="Footer"/>
      <w:jc w:val="center"/>
    </w:pPr>
    <w:r>
      <w:t>Confidential – For Internal Use Only – ABC Solutions Pvt. Ltd. –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7937" w14:textId="77777777" w:rsidR="00523BFB" w:rsidRDefault="00523BFB">
      <w:pPr>
        <w:spacing w:after="0" w:line="240" w:lineRule="auto"/>
      </w:pPr>
      <w:r>
        <w:separator/>
      </w:r>
    </w:p>
  </w:footnote>
  <w:footnote w:type="continuationSeparator" w:id="0">
    <w:p w14:paraId="6C624CC2" w14:textId="77777777" w:rsidR="00523BFB" w:rsidRDefault="00523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181601">
    <w:abstractNumId w:val="8"/>
  </w:num>
  <w:num w:numId="2" w16cid:durableId="1966692785">
    <w:abstractNumId w:val="6"/>
  </w:num>
  <w:num w:numId="3" w16cid:durableId="1300577526">
    <w:abstractNumId w:val="5"/>
  </w:num>
  <w:num w:numId="4" w16cid:durableId="1862739782">
    <w:abstractNumId w:val="4"/>
  </w:num>
  <w:num w:numId="5" w16cid:durableId="411007453">
    <w:abstractNumId w:val="7"/>
  </w:num>
  <w:num w:numId="6" w16cid:durableId="1709800134">
    <w:abstractNumId w:val="3"/>
  </w:num>
  <w:num w:numId="7" w16cid:durableId="1948535878">
    <w:abstractNumId w:val="2"/>
  </w:num>
  <w:num w:numId="8" w16cid:durableId="1895198426">
    <w:abstractNumId w:val="1"/>
  </w:num>
  <w:num w:numId="9" w16cid:durableId="139704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D9"/>
    <w:rsid w:val="00034616"/>
    <w:rsid w:val="0006063C"/>
    <w:rsid w:val="0015074B"/>
    <w:rsid w:val="0029639D"/>
    <w:rsid w:val="00326F90"/>
    <w:rsid w:val="004324FD"/>
    <w:rsid w:val="00523BFB"/>
    <w:rsid w:val="00535597"/>
    <w:rsid w:val="00AA1D8D"/>
    <w:rsid w:val="00AD45C7"/>
    <w:rsid w:val="00B47730"/>
    <w:rsid w:val="00BC2AD5"/>
    <w:rsid w:val="00CB0664"/>
    <w:rsid w:val="00DB3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F719D"/>
  <w14:defaultImageDpi w14:val="300"/>
  <w15:docId w15:val="{6C69A000-0A4F-4BFC-9B68-B6711532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3</cp:revision>
  <dcterms:created xsi:type="dcterms:W3CDTF">2013-12-23T23:15:00Z</dcterms:created>
  <dcterms:modified xsi:type="dcterms:W3CDTF">2026-01-27T02:13:00Z</dcterms:modified>
  <cp:category/>
</cp:coreProperties>
</file>