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ABC Solutions Pvt. Ltd.</w:t>
      </w:r>
    </w:p>
    <w:p>
      <w:r>
        <w:t>ABC Solutions Pvt. Ltd.</w:t>
        <w:br/>
        <w:t>Document ID:</w:t>
      </w:r>
    </w:p>
    <w:p>
      <w:r>
        <w:t>HR-POL-002</w:t>
      </w:r>
    </w:p>
    <w:p>
      <w:r>
        <w:t>Version:</w:t>
      </w:r>
    </w:p>
    <w:p>
      <w:r>
        <w:t>1.0</w:t>
      </w:r>
    </w:p>
    <w:p>
      <w:r>
        <w:t>Effective Date:</w:t>
      </w:r>
    </w:p>
    <w:p>
      <w:r>
        <w:t>January 1, 2026</w:t>
      </w:r>
    </w:p>
    <w:p>
      <w:r>
        <w:t>Title:</w:t>
      </w:r>
    </w:p>
    <w:p>
      <w:r>
        <w:t>Equal Opportunity Policy</w:t>
      </w:r>
    </w:p>
    <w:p>
      <w:r>
        <w:t>Classification:</w:t>
      </w:r>
    </w:p>
    <w:p>
      <w:r>
        <w:t>Confidential – Internal Use Only</w:t>
      </w:r>
    </w:p>
    <w:p>
      <w:r>
        <w:t>1. Objective</w:t>
      </w:r>
    </w:p>
    <w:p>
      <w:r>
        <w:t>This policy establishes the commitment of ABC Solutions Pvt. Ltd. to provide equal opportunity in all aspects of employment and to prevent discrimination, harassment, and retaliation in compliance with Articles 14, 15, and 16 of the Constitution of India, the Rights of Persons with Disabilities Act, 2016, the Sexual Harassment of Women at Workplace (Prevention, Prohibition and Redressal) Act, 2013, and applicable labour laws. The objective is to ensure fair recruitment, compensation, performance evaluation, career progression, and workplace conduct through transparent, auditable, and enforceable processes.</w:t>
      </w:r>
    </w:p>
    <w:p>
      <w:r>
        <w:t>2. Scope</w:t>
      </w:r>
    </w:p>
    <w:p>
      <w:r>
        <w:t>This policy applies to all employees, interns, consultants, and job applicants of ABC Solutions Pvt. Ltd. across all grades, locations, and modes of work. The policy is administered by the Human Resources Department under the authority of the Chief Human Resources Officer (CHRO) and is overseen by the Diversity, Equity, and Ethics Committee (DEEC) chaired by an Independent Director.</w:t>
      </w:r>
    </w:p>
    <w:p>
      <w:r>
        <w:t>3. Definitions</w:t>
      </w:r>
    </w:p>
    <w:p>
      <w:r>
        <w:t>3.1</w:t>
      </w:r>
    </w:p>
    <w:p>
      <w:r>
        <w:t>Protected Characteristics:</w:t>
      </w:r>
    </w:p>
    <w:p>
      <w:r>
        <w:t>Gender, sex, marital status, pregnancy, disability, age, religion, caste, ethnicity, sexual orientation, and any other category protected under applicable law.</w:t>
        <w:br/>
        <w:t>3.2</w:t>
      </w:r>
    </w:p>
    <w:p>
      <w:r>
        <w:t>Discrimination:</w:t>
      </w:r>
    </w:p>
    <w:p>
      <w:r>
        <w:t>Any distinction, exclusion, or preference that nullifies or impairs equality of opportunity or treatment in employment.</w:t>
        <w:br/>
        <w:t>3.3</w:t>
      </w:r>
    </w:p>
    <w:p>
      <w:r>
        <w:t>Harassment:</w:t>
      </w:r>
    </w:p>
    <w:p>
      <w:r>
        <w:t>Unwelcome conduct, whether verbal, physical, or visual, that creates a hostile or intimidating work environment.</w:t>
        <w:br/>
        <w:t>3.4</w:t>
      </w:r>
    </w:p>
    <w:p>
      <w:r>
        <w:t>Retaliation:</w:t>
      </w:r>
    </w:p>
    <w:p>
      <w:r>
        <w:t>Any adverse action taken against a person for reporting discrimination or participating in an investigation.</w:t>
      </w:r>
    </w:p>
    <w:p>
      <w:r>
        <w:t>4. Equal Opportunity Framework</w:t>
      </w:r>
    </w:p>
    <w:p>
      <w:r>
        <w:t>4.1</w:t>
      </w:r>
    </w:p>
    <w:p>
      <w:r>
        <w:t>Recruitment and Selection</w:t>
      </w:r>
    </w:p>
    <w:p>
      <w:r>
        <w:t>4.1.1 All job advertisements, selection criteria, and interview processes shall be role-based and competency-driven.</w:t>
        <w:br/>
        <w:t>4.1.2 For managerial and senior roles (Grade G5 and above), interview panels shall include at least one member certified in diversity and inclusion practices.</w:t>
        <w:br/>
        <w:t>4.1.3 Any deviation from prescribed qualification or experience criteria shall be documented with justification and approved by the BUH and CHRO.</w:t>
      </w:r>
    </w:p>
    <w:p>
      <w:r>
        <w:t>4.2</w:t>
      </w:r>
    </w:p>
    <w:p>
      <w:r>
        <w:t>Compensation and Benefits</w:t>
      </w:r>
    </w:p>
    <w:p>
      <w:r>
        <w:t>4.2.1 Employees performing substantially similar work shall be paid equitably, subject to performance and experience.</w:t>
        <w:br/>
        <w:t>4.2.2 Annual pay equity audits shall be conducted. A variance exceeding ±3% for comparable roles shall trigger corrective action within 60 days, approved by the CFO and CHRO.</w:t>
      </w:r>
    </w:p>
    <w:p>
      <w:r>
        <w:t>4.3</w:t>
      </w:r>
    </w:p>
    <w:p>
      <w:r>
        <w:t>Performance Management and Promotion</w:t>
      </w:r>
    </w:p>
    <w:p>
      <w:r>
        <w:t>4.3.1 Performance evaluations shall be conducted strictly in accordance with the Performance Appraisal Policy (HR-POL-006).</w:t>
        <w:br/>
        <w:t>4.3.2 Promotion decisions shall be based on documented performance, potential assessments, and role requirements, without bias related to protected characteristics.</w:t>
      </w:r>
    </w:p>
    <w:p>
      <w:r>
        <w:t>4.4</w:t>
      </w:r>
    </w:p>
    <w:p>
      <w:r>
        <w:t>Prevention of Sexual Harassment (POSH)</w:t>
      </w:r>
    </w:p>
    <w:p>
      <w:r>
        <w:t>4.4.1 An Internal Committee (IC) shall be constituted in accordance with the POSH Act.</w:t>
        <w:br/>
        <w:t>4.4.2 Complaints shall be acknowledged within 24 hours and disposed of within 45 days.</w:t>
        <w:br/>
        <w:t>4.4.3 Interim relief measures, including temporary transfer or leave, may be granted to the aggrieved employee during investigation.</w:t>
      </w:r>
    </w:p>
    <w:p>
      <w:r>
        <w:t>4.5</w:t>
      </w:r>
    </w:p>
    <w:p>
      <w:r>
        <w:t>Reasonable Accommodation for Persons with Disabilities</w:t>
      </w:r>
    </w:p>
    <w:p>
      <w:r>
        <w:t>4.5.1 Workplace accommodations, including assistive technology or modified work arrangements, shall be provided within 10 working days of approval.</w:t>
        <w:br/>
        <w:t>4.5.2 The cost of accommodation up to INR 1,50,000 per case shall be approved by the CHRO; higher amounts require COO approval.</w:t>
      </w:r>
    </w:p>
    <w:p>
      <w:r>
        <w:t>5. Grievance Redressal and Investigation</w:t>
      </w:r>
    </w:p>
    <w:p>
      <w:r>
        <w:t>5.1 All complaints of discrimination or harassment shall be recorded in the confidential grievance management system.</w:t>
        <w:br/>
        <w:t>5.2 Investigations shall be conducted by trained personnel, ensuring principles of natural justice and confidentiality.</w:t>
        <w:br/>
        <w:t>5.3 Findings and recommendations shall be reviewed by the DEEC and approved by the CHRO.</w:t>
      </w:r>
    </w:p>
    <w:p>
      <w:r>
        <w:t>6. Retaliation and Misconduct</w:t>
      </w:r>
    </w:p>
    <w:p>
      <w:r>
        <w:t>6.1 Retaliation against complainants, witnesses, or investigators is strictly prohibited.</w:t>
        <w:br/>
        <w:t>6.2 Proven retaliation shall constitute gross misconduct and may result in suspension or termination under the Termination and Suspension Policy (HR-POL-005), Clause 4.2.</w:t>
      </w:r>
    </w:p>
    <w:p>
      <w:r>
        <w:t>7. Cross-Policy Dependencies</w:t>
      </w:r>
    </w:p>
    <w:p>
      <w:r>
        <w:t>7.1</w:t>
      </w:r>
    </w:p>
    <w:p>
      <w:r>
        <w:t>Performance Appraisal:</w:t>
      </w:r>
    </w:p>
    <w:p>
      <w:r>
        <w:t>Bias review and calibration are governed by HR-POL-006, Clause 4.4.</w:t>
        <w:br/>
        <w:t>7.2</w:t>
      </w:r>
    </w:p>
    <w:p>
      <w:r>
        <w:t>Training and Awareness:</w:t>
      </w:r>
    </w:p>
    <w:p>
      <w:r>
        <w:t>Mandatory diversity and POSH training is governed by Training &amp; Development Policy (HR-POL-004), Clause 3.1.</w:t>
        <w:br/>
        <w:t>7.3</w:t>
      </w:r>
    </w:p>
    <w:p>
      <w:r>
        <w:t>Disciplinary Action:</w:t>
      </w:r>
    </w:p>
    <w:p>
      <w:r>
        <w:t>All penalties shall be imposed in accordance with HR-POL-005.</w:t>
        <w:br/>
        <w:t>7.4</w:t>
      </w:r>
    </w:p>
    <w:p>
      <w:r>
        <w:t>Remote Work and Accommodation:</w:t>
      </w:r>
    </w:p>
    <w:p>
      <w:r>
        <w:t>Flexible work arrangements shall be aligned with HR-POL-009, Clause 3.1.</w:t>
      </w:r>
    </w:p>
    <w:p>
      <w:r>
        <w:t>8. Record Retention and Audit</w:t>
      </w:r>
    </w:p>
    <w:p>
      <w:r>
        <w:t>8.1 Records of complaints, investigations, and corrective actions shall be retained for a minimum of 8 years.</w:t>
        <w:br/>
        <w:t>8.2 Annual compliance audits shall be conducted by Internal Audit and an external POSH-compliant auditor.</w:t>
      </w:r>
    </w:p>
    <w:p>
      <w:r>
        <w:t>9. Enforcement</w:t>
      </w:r>
    </w:p>
    <w:p>
      <w:r>
        <w:t>Any violation of this policy, including discriminatory practices, harassment, or retaliation, shall attract disciplinary action up to and including termination of employment and, where applicable, statutory reporting to competent authorities.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