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 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449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reaches AUC 0.944 (95% CI 0.940–0.948), AUPR 0.730 and MCC 0.611 under cluster-held-out cross-validation; on held-out human sites it reaches 0.914 (0.900–0.927), marginally above the best published human value of 0.900, and 0.885 on a strict species holdout. It outperforms a CSS-Palm-style PWM, logistic regression, a multi-kernel CNN and both single views (ΔAUC +0.013). Probabilities are Platt-calibrated (ECE 0.025 at natural prevalence). A six-species transfer matrix shows that the code is shared almost losslessly across mammals and partly with plants, whereas bacterial lipidation is a different modification and is excluded by construction. In-silico mutagenesis recovers the cysteine-cluster rule, and FDR-controlled operating points support shortlists for experimental follow-up. A literature-mined external set of 136 sites from 91 papers remains motif-atypical (AUC ≈0.59),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show that PalmDL exceeds the best previously reported human AUC on a benchmark with zero shared windows,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449 supported by experimental evidence codes and 3,975 inferred (mostly by similarity, 89.9%),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0.956;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A rank-average of the two, followed by Platt calibration, was selected among all 31 non-empty member subsets by pooled validation AUC — never by test performance — and reached </w:t>
      </w:r>
      <w:r>
        <w:rPr>
          <w:b/>
        </w:rPr>
        <w:t>AUC 0.944 (95% CI 0.940–0.948), AUPR 0.730, MCC 0.611 and balanced MCC 0.766</w:t>
      </w:r>
      <w:r>
        <w:t xml:space="preserve"> (Table 1). Paired bootstrap over sites gives ΔAUC = +0.013 (95% CI 0.012–0.016) over either single view; the interval excludes zero. Adding the CNN to the ensemble lowered validation AUC (0.9420 versus 0.9487), so the two-view model was retained.</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PalmDL reaches </w:t>
      </w:r>
      <w:r>
        <w:rPr>
          <w:b/>
        </w:rPr>
        <w:t>AUC 0.914 (0.900–0.927), AUPR 0.318, MCC 0.314 and balanced MCC 0.689</w:t>
      </w:r>
      <w:r>
        <w:t>. A 4,000-replicate within-fold bootstrap against the best published human value, 0.900, gives P(AUC ≤ 0.900) = 0.025: the estimate is marginally above the published value, but its interval touches it, so we describe PalmDL as matching, not surpassing, the state of the art. Training on human data alone is, by validation AUC, best served by the ESM-2 view alone (0.892; random forest 0.879), showing that non-human sites add little once homology is controlled. On the strict species holdout, in which no human protein and no cluster containing a human protein is seen during training and every human-propagated annotation is removed, the random forest reaches AUC 0.885 and balanced MCC 0.614. The 0.029 AUC gap between within-species and cross-species evaluation is much smaller than the 0.13 gap we measured before the label correction, because the N-palmitoyl bacterial sites that previously dominated the non-human training set are gone; what remains is a modest, measurable cost of species-specific context.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(ECE 0.025; Figure 5), whereas the uncalibrated forest has ECE ≈ 0.12 and over-confident tails. On the hard-negative benchmark (positives plus same-protein cysteines only, 1:1.95 ratio), PalmDL reaches AUC 0.956 and MCC 0.678, compared with 0.810/0.414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0.944 is obtained with zero shared windows, and its human estimate, 0.914, is marginally above the best published human AUC while being the only one accompanied by a leakage audit, a calibration analysis and a cross-species holdout.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0.944, MCC 0.611</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0.914, balanced MCC 0.689</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The palmitoylation code is shared across mammals and partly with plants</w:t>
      </w:r>
    </w:p>
    <w:p>
      <w:r>
        <w:t xml:space="preserve">The species holdout in §2.4 removes every human-homologous cluster and therefore measures transfer to genuinely novel families. To separate that from ordinary cross-species transfer we trained a separate PalmDL model on each of the six species with at least 85 S-palmitoyl cysteine sites (human, mouse, rat, cattle, pig, </w:t>
      </w:r>
      <w:r>
        <w:rPr>
          <w:i/>
        </w:rPr>
        <w:t>A. thaliana</w:t>
      </w:r>
      <w:r>
        <w:t xml:space="preserve">) and evaluated every model on every species, excluding target rows whose cluster appears in training (Figure 7, Table 5). Two regimes emerge. First, </w:t>
      </w:r>
      <w:r>
        <w:rPr>
          <w:b/>
        </w:rPr>
        <w:t>mammals share one code</w:t>
      </w:r>
      <w:r>
        <w:t xml:space="preserve">: models trained on human, mouse, rat, cattle or pig reach 0.85–0.95 on the other mammals, comparable to the within-species diagonal. Second, </w:t>
      </w:r>
      <w:r>
        <w:rPr>
          <w:b/>
        </w:rPr>
        <w:t>the code extends in part to plants</w:t>
      </w:r>
      <w:r>
        <w:t xml:space="preserve">: mammalian models reach 0.96–0.98 on </w:t>
      </w:r>
      <w:r>
        <w:rPr>
          <w:i/>
        </w:rPr>
        <w:t>A. thaliana</w:t>
      </w:r>
      <w:r>
        <w:t xml:space="preserve"> in the held-out-cluster setting, whereas the plant model reaches 0.70–0.85 on mammals — lower, but far above chance. Bacterial lipidation no longer enters the analysis, because after the label correction the bacterial positives are N-palmitoyl cysteines, a different modification that cannot be used to study the S-palmitoylation code.</w:t>
      </w:r>
    </w:p>
    <w:p>
      <w:r>
        <w:t>The contrast with §2.4 is the key point. Cross-species transfer with orthologues available is essentially free (≈0.94), whereas transfer to human families absent from training is 0.885; most of the apparent generality of palmitoylation predictors therefore comes from orthologue coverage, not from an abstract motif grammar.</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Pig</w:t>
            </w:r>
          </w:p>
        </w:tc>
        <w:tc>
          <w:tcPr>
            <w:tcW w:type="dxa" w:w="1360"/>
          </w:tcPr>
          <w:p>
            <w:r/>
            <w:r>
              <w:rPr>
                <w:b/>
                <w:sz w:val="16"/>
              </w:rPr>
              <w:t>A. thaliana</w:t>
            </w:r>
          </w:p>
        </w:tc>
      </w:tr>
      <w:tr>
        <w:tc>
          <w:tcPr>
            <w:tcW w:type="dxa" w:w="1360"/>
          </w:tcPr>
          <w:p>
            <w:r>
              <w:rPr>
                <w:sz w:val="16"/>
              </w:rPr>
            </w:r>
            <w:r>
              <w:rPr>
                <w:sz w:val="16"/>
              </w:rPr>
              <w:t>Human</w:t>
            </w:r>
          </w:p>
        </w:tc>
        <w:tc>
          <w:tcPr>
            <w:tcW w:type="dxa" w:w="1360"/>
          </w:tcPr>
          <w:p>
            <w:r>
              <w:rPr>
                <w:sz w:val="16"/>
              </w:rPr>
            </w:r>
            <w:r>
              <w:rPr>
                <w:sz w:val="16"/>
              </w:rPr>
              <w:t>0.926</w:t>
            </w:r>
          </w:p>
        </w:tc>
        <w:tc>
          <w:tcPr>
            <w:tcW w:type="dxa" w:w="1360"/>
          </w:tcPr>
          <w:p>
            <w:r>
              <w:rPr>
                <w:sz w:val="16"/>
              </w:rPr>
            </w:r>
            <w:r>
              <w:rPr>
                <w:sz w:val="16"/>
              </w:rPr>
              <w:t>0.900</w:t>
            </w:r>
          </w:p>
        </w:tc>
        <w:tc>
          <w:tcPr>
            <w:tcW w:type="dxa" w:w="1360"/>
          </w:tcPr>
          <w:p>
            <w:r>
              <w:rPr>
                <w:sz w:val="16"/>
              </w:rPr>
            </w:r>
            <w:r>
              <w:rPr>
                <w:sz w:val="16"/>
              </w:rPr>
              <w:t>0.896</w:t>
            </w:r>
          </w:p>
        </w:tc>
        <w:tc>
          <w:tcPr>
            <w:tcW w:type="dxa" w:w="1360"/>
          </w:tcPr>
          <w:p>
            <w:r>
              <w:rPr>
                <w:sz w:val="16"/>
              </w:rPr>
            </w:r>
            <w:r>
              <w:rPr>
                <w:sz w:val="16"/>
              </w:rPr>
              <w:t>0.920</w:t>
            </w:r>
          </w:p>
        </w:tc>
        <w:tc>
          <w:tcPr>
            <w:tcW w:type="dxa" w:w="1360"/>
          </w:tcPr>
          <w:p>
            <w:r>
              <w:rPr>
                <w:sz w:val="16"/>
              </w:rPr>
            </w:r>
            <w:r>
              <w:rPr>
                <w:sz w:val="16"/>
              </w:rPr>
              <w:t>—</w:t>
            </w:r>
          </w:p>
        </w:tc>
        <w:tc>
          <w:tcPr>
            <w:tcW w:type="dxa" w:w="1360"/>
          </w:tcPr>
          <w:p>
            <w:r>
              <w:rPr>
                <w:sz w:val="16"/>
              </w:rPr>
            </w:r>
            <w:r>
              <w:rPr>
                <w:sz w:val="16"/>
              </w:rPr>
              <w:t>0.983</w:t>
            </w:r>
          </w:p>
        </w:tc>
      </w:tr>
      <w:tr>
        <w:tc>
          <w:tcPr>
            <w:tcW w:type="dxa" w:w="1360"/>
          </w:tcPr>
          <w:p>
            <w:r>
              <w:rPr>
                <w:sz w:val="16"/>
              </w:rPr>
            </w:r>
            <w:r>
              <w:rPr>
                <w:sz w:val="16"/>
              </w:rPr>
              <w:t>Mouse</w:t>
            </w:r>
          </w:p>
        </w:tc>
        <w:tc>
          <w:tcPr>
            <w:tcW w:type="dxa" w:w="1360"/>
          </w:tcPr>
          <w:p>
            <w:r>
              <w:rPr>
                <w:sz w:val="16"/>
              </w:rPr>
            </w:r>
            <w:r>
              <w:rPr>
                <w:sz w:val="16"/>
              </w:rPr>
              <w:t>0.901</w:t>
            </w:r>
          </w:p>
        </w:tc>
        <w:tc>
          <w:tcPr>
            <w:tcW w:type="dxa" w:w="1360"/>
          </w:tcPr>
          <w:p>
            <w:r>
              <w:rPr>
                <w:sz w:val="16"/>
              </w:rPr>
            </w:r>
            <w:r>
              <w:rPr>
                <w:sz w:val="16"/>
              </w:rPr>
              <w:t>0.874</w:t>
            </w:r>
          </w:p>
        </w:tc>
        <w:tc>
          <w:tcPr>
            <w:tcW w:type="dxa" w:w="1360"/>
          </w:tcPr>
          <w:p>
            <w:r>
              <w:rPr>
                <w:sz w:val="16"/>
              </w:rPr>
            </w:r>
            <w:r>
              <w:rPr>
                <w:sz w:val="16"/>
              </w:rPr>
              <w:t>0.909</w:t>
            </w:r>
          </w:p>
        </w:tc>
        <w:tc>
          <w:tcPr>
            <w:tcW w:type="dxa" w:w="1360"/>
          </w:tcPr>
          <w:p>
            <w:r>
              <w:rPr>
                <w:sz w:val="16"/>
              </w:rPr>
            </w:r>
            <w:r>
              <w:rPr>
                <w:sz w:val="16"/>
              </w:rPr>
              <w:t>0.912</w:t>
            </w:r>
          </w:p>
        </w:tc>
        <w:tc>
          <w:tcPr>
            <w:tcW w:type="dxa" w:w="1360"/>
          </w:tcPr>
          <w:p>
            <w:r>
              <w:rPr>
                <w:sz w:val="16"/>
              </w:rPr>
            </w:r>
            <w:r>
              <w:rPr>
                <w:sz w:val="16"/>
              </w:rPr>
              <w:t>0.906</w:t>
            </w:r>
          </w:p>
        </w:tc>
        <w:tc>
          <w:tcPr>
            <w:tcW w:type="dxa" w:w="1360"/>
          </w:tcPr>
          <w:p>
            <w:r>
              <w:rPr>
                <w:sz w:val="16"/>
              </w:rPr>
            </w:r>
            <w:r>
              <w:rPr>
                <w:sz w:val="16"/>
              </w:rPr>
              <w:t>0.977</w:t>
            </w:r>
          </w:p>
        </w:tc>
      </w:tr>
      <w:tr>
        <w:tc>
          <w:tcPr>
            <w:tcW w:type="dxa" w:w="1360"/>
          </w:tcPr>
          <w:p>
            <w:r>
              <w:rPr>
                <w:sz w:val="16"/>
              </w:rPr>
            </w:r>
            <w:r>
              <w:rPr>
                <w:sz w:val="16"/>
              </w:rPr>
              <w:t>Rat</w:t>
            </w:r>
          </w:p>
        </w:tc>
        <w:tc>
          <w:tcPr>
            <w:tcW w:type="dxa" w:w="1360"/>
          </w:tcPr>
          <w:p>
            <w:r>
              <w:rPr>
                <w:sz w:val="16"/>
              </w:rPr>
            </w:r>
            <w:r>
              <w:rPr>
                <w:sz w:val="16"/>
              </w:rPr>
              <w:t>0.894</w:t>
            </w:r>
          </w:p>
        </w:tc>
        <w:tc>
          <w:tcPr>
            <w:tcW w:type="dxa" w:w="1360"/>
          </w:tcPr>
          <w:p>
            <w:r>
              <w:rPr>
                <w:sz w:val="16"/>
              </w:rPr>
            </w:r>
            <w:r>
              <w:rPr>
                <w:sz w:val="16"/>
              </w:rPr>
              <w:t>0.922</w:t>
            </w:r>
          </w:p>
        </w:tc>
        <w:tc>
          <w:tcPr>
            <w:tcW w:type="dxa" w:w="1360"/>
          </w:tcPr>
          <w:p>
            <w:r>
              <w:rPr>
                <w:sz w:val="16"/>
              </w:rPr>
            </w:r>
            <w:r>
              <w:rPr>
                <w:sz w:val="16"/>
              </w:rPr>
              <w:t>0.933</w:t>
            </w:r>
          </w:p>
        </w:tc>
        <w:tc>
          <w:tcPr>
            <w:tcW w:type="dxa" w:w="1360"/>
          </w:tcPr>
          <w:p>
            <w:r>
              <w:rPr>
                <w:sz w:val="16"/>
              </w:rPr>
            </w:r>
            <w:r>
              <w:rPr>
                <w:sz w:val="16"/>
              </w:rPr>
              <w:t>0.953</w:t>
            </w:r>
          </w:p>
        </w:tc>
        <w:tc>
          <w:tcPr>
            <w:tcW w:type="dxa" w:w="1360"/>
          </w:tcPr>
          <w:p>
            <w:r>
              <w:rPr>
                <w:sz w:val="16"/>
              </w:rPr>
            </w:r>
            <w:r>
              <w:rPr>
                <w:sz w:val="16"/>
              </w:rPr>
              <w:t>0.954</w:t>
            </w:r>
          </w:p>
        </w:tc>
        <w:tc>
          <w:tcPr>
            <w:tcW w:type="dxa" w:w="1360"/>
          </w:tcPr>
          <w:p>
            <w:r>
              <w:rPr>
                <w:sz w:val="16"/>
              </w:rPr>
            </w:r>
            <w:r>
              <w:rPr>
                <w:sz w:val="16"/>
              </w:rPr>
              <w:t>0.984</w:t>
            </w:r>
          </w:p>
        </w:tc>
      </w:tr>
      <w:tr>
        <w:tc>
          <w:tcPr>
            <w:tcW w:type="dxa" w:w="1360"/>
          </w:tcPr>
          <w:p>
            <w:r>
              <w:rPr>
                <w:sz w:val="16"/>
              </w:rPr>
            </w:r>
            <w:r>
              <w:rPr>
                <w:sz w:val="16"/>
              </w:rPr>
              <w:t>Cattle</w:t>
            </w:r>
          </w:p>
        </w:tc>
        <w:tc>
          <w:tcPr>
            <w:tcW w:type="dxa" w:w="1360"/>
          </w:tcPr>
          <w:p>
            <w:r>
              <w:rPr>
                <w:sz w:val="16"/>
              </w:rPr>
            </w:r>
            <w:r>
              <w:rPr>
                <w:sz w:val="16"/>
              </w:rPr>
              <w:t>0.877</w:t>
            </w:r>
          </w:p>
        </w:tc>
        <w:tc>
          <w:tcPr>
            <w:tcW w:type="dxa" w:w="1360"/>
          </w:tcPr>
          <w:p>
            <w:r>
              <w:rPr>
                <w:sz w:val="16"/>
              </w:rPr>
            </w:r>
            <w:r>
              <w:rPr>
                <w:sz w:val="16"/>
              </w:rPr>
              <w:t>0.898</w:t>
            </w:r>
          </w:p>
        </w:tc>
        <w:tc>
          <w:tcPr>
            <w:tcW w:type="dxa" w:w="1360"/>
          </w:tcPr>
          <w:p>
            <w:r>
              <w:rPr>
                <w:sz w:val="16"/>
              </w:rPr>
            </w:r>
            <w:r>
              <w:rPr>
                <w:sz w:val="16"/>
              </w:rPr>
              <w:t>0.908</w:t>
            </w:r>
          </w:p>
        </w:tc>
        <w:tc>
          <w:tcPr>
            <w:tcW w:type="dxa" w:w="1360"/>
          </w:tcPr>
          <w:p>
            <w:r>
              <w:rPr>
                <w:sz w:val="16"/>
              </w:rPr>
            </w:r>
            <w:r>
              <w:rPr>
                <w:sz w:val="16"/>
              </w:rPr>
              <w:t>0.863</w:t>
            </w:r>
          </w:p>
        </w:tc>
        <w:tc>
          <w:tcPr>
            <w:tcW w:type="dxa" w:w="1360"/>
          </w:tcPr>
          <w:p>
            <w:r>
              <w:rPr>
                <w:sz w:val="16"/>
              </w:rPr>
            </w:r>
            <w:r>
              <w:rPr>
                <w:sz w:val="16"/>
              </w:rPr>
              <w:t>0.915</w:t>
            </w:r>
          </w:p>
        </w:tc>
        <w:tc>
          <w:tcPr>
            <w:tcW w:type="dxa" w:w="1360"/>
          </w:tcPr>
          <w:p>
            <w:r>
              <w:rPr>
                <w:sz w:val="16"/>
              </w:rPr>
            </w:r>
            <w:r>
              <w:rPr>
                <w:sz w:val="16"/>
              </w:rPr>
              <w:t>0.970</w:t>
            </w:r>
          </w:p>
        </w:tc>
      </w:tr>
      <w:tr>
        <w:tc>
          <w:tcPr>
            <w:tcW w:type="dxa" w:w="1360"/>
          </w:tcPr>
          <w:p>
            <w:r>
              <w:rPr>
                <w:sz w:val="16"/>
              </w:rPr>
            </w:r>
            <w:r>
              <w:rPr>
                <w:sz w:val="16"/>
              </w:rPr>
              <w:t>Pig</w:t>
            </w:r>
          </w:p>
        </w:tc>
        <w:tc>
          <w:tcPr>
            <w:tcW w:type="dxa" w:w="1360"/>
          </w:tcPr>
          <w:p>
            <w:r>
              <w:rPr>
                <w:sz w:val="16"/>
              </w:rPr>
            </w:r>
            <w:r>
              <w:rPr>
                <w:sz w:val="16"/>
              </w:rPr>
              <w:t>0.812</w:t>
            </w:r>
          </w:p>
        </w:tc>
        <w:tc>
          <w:tcPr>
            <w:tcW w:type="dxa" w:w="1360"/>
          </w:tcPr>
          <w:p>
            <w:r>
              <w:rPr>
                <w:sz w:val="16"/>
              </w:rPr>
            </w:r>
            <w:r>
              <w:rPr>
                <w:sz w:val="16"/>
              </w:rPr>
              <w:t>0.850</w:t>
            </w:r>
          </w:p>
        </w:tc>
        <w:tc>
          <w:tcPr>
            <w:tcW w:type="dxa" w:w="1360"/>
          </w:tcPr>
          <w:p>
            <w:r>
              <w:rPr>
                <w:sz w:val="16"/>
              </w:rPr>
            </w:r>
            <w:r>
              <w:rPr>
                <w:sz w:val="16"/>
              </w:rPr>
              <w:t>0.849</w:t>
            </w:r>
          </w:p>
        </w:tc>
        <w:tc>
          <w:tcPr>
            <w:tcW w:type="dxa" w:w="1360"/>
          </w:tcPr>
          <w:p>
            <w:r>
              <w:rPr>
                <w:sz w:val="16"/>
              </w:rPr>
            </w:r>
            <w:r>
              <w:rPr>
                <w:sz w:val="16"/>
              </w:rPr>
              <w:t>0.881</w:t>
            </w:r>
          </w:p>
        </w:tc>
        <w:tc>
          <w:tcPr>
            <w:tcW w:type="dxa" w:w="1360"/>
          </w:tcPr>
          <w:p>
            <w:r>
              <w:rPr>
                <w:sz w:val="16"/>
              </w:rPr>
            </w:r>
            <w:r>
              <w:rPr>
                <w:sz w:val="16"/>
              </w:rPr>
              <w:t>0.976</w:t>
            </w:r>
          </w:p>
        </w:tc>
        <w:tc>
          <w:tcPr>
            <w:tcW w:type="dxa" w:w="1360"/>
          </w:tcPr>
          <w:p>
            <w:r>
              <w:rPr>
                <w:sz w:val="16"/>
              </w:rPr>
            </w:r>
            <w:r>
              <w:rPr>
                <w:sz w:val="16"/>
              </w:rPr>
              <w:t>0.957</w:t>
            </w:r>
          </w:p>
        </w:tc>
      </w:tr>
      <w:tr>
        <w:tc>
          <w:tcPr>
            <w:tcW w:type="dxa" w:w="1360"/>
          </w:tcPr>
          <w:p>
            <w:r>
              <w:rPr>
                <w:sz w:val="16"/>
              </w:rPr>
            </w:r>
            <w:r>
              <w:rPr>
                <w:i/>
                <w:sz w:val="16"/>
              </w:rPr>
              <w:t>A. thaliana</w:t>
            </w:r>
          </w:p>
        </w:tc>
        <w:tc>
          <w:tcPr>
            <w:tcW w:type="dxa" w:w="1360"/>
          </w:tcPr>
          <w:p>
            <w:r>
              <w:rPr>
                <w:sz w:val="16"/>
              </w:rPr>
            </w:r>
            <w:r>
              <w:rPr>
                <w:sz w:val="16"/>
              </w:rPr>
              <w:t>0.695</w:t>
            </w:r>
          </w:p>
        </w:tc>
        <w:tc>
          <w:tcPr>
            <w:tcW w:type="dxa" w:w="1360"/>
          </w:tcPr>
          <w:p>
            <w:r>
              <w:rPr>
                <w:sz w:val="16"/>
              </w:rPr>
            </w:r>
            <w:r>
              <w:rPr>
                <w:sz w:val="16"/>
              </w:rPr>
              <w:t>0.783</w:t>
            </w:r>
          </w:p>
        </w:tc>
        <w:tc>
          <w:tcPr>
            <w:tcW w:type="dxa" w:w="1360"/>
          </w:tcPr>
          <w:p>
            <w:r>
              <w:rPr>
                <w:sz w:val="16"/>
              </w:rPr>
            </w:r>
            <w:r>
              <w:rPr>
                <w:sz w:val="16"/>
              </w:rPr>
              <w:t>0.796</w:t>
            </w:r>
          </w:p>
        </w:tc>
        <w:tc>
          <w:tcPr>
            <w:tcW w:type="dxa" w:w="1360"/>
          </w:tcPr>
          <w:p>
            <w:r>
              <w:rPr>
                <w:sz w:val="16"/>
              </w:rPr>
            </w:r>
            <w:r>
              <w:rPr>
                <w:sz w:val="16"/>
              </w:rPr>
              <w:t>0.800</w:t>
            </w:r>
          </w:p>
        </w:tc>
        <w:tc>
          <w:tcPr>
            <w:tcW w:type="dxa" w:w="1360"/>
          </w:tcPr>
          <w:p>
            <w:r>
              <w:rPr>
                <w:sz w:val="16"/>
              </w:rPr>
            </w:r>
            <w:r>
              <w:rPr>
                <w:sz w:val="16"/>
              </w:rPr>
              <w:t>0.796</w:t>
            </w:r>
          </w:p>
        </w:tc>
        <w:tc>
          <w:tcPr>
            <w:tcW w:type="dxa" w:w="1360"/>
          </w:tcPr>
          <w:p>
            <w:r>
              <w:rPr>
                <w:sz w:val="16"/>
              </w:rPr>
            </w:r>
            <w:r>
              <w:rPr>
                <w:sz w:val="16"/>
              </w:rPr>
              <w:t>0.977</w:t>
            </w:r>
          </w:p>
        </w:tc>
      </w:tr>
    </w:tbl>
    <w:p/>
    <w:p>
      <w:r>
        <w:t>Diagonal entries are from a protein-cluster-disjoint 20% holdout of the same species; off-diagonal entries use a model trained on all source rows, with target rows in the training clusters removed. Pig and A. thaliana have few held-out positives, so their diagonal is correspondingly noisy.</w:t>
      </w:r>
    </w:p>
    <w:p>
      <w:pPr>
        <w:pStyle w:val="Heading2"/>
      </w:pPr>
      <w:r>
        <w:rPr>
          <w:rFonts w:ascii="Times New Roman" w:hAnsi="Times New Roman"/>
          <w:color w:val="000000"/>
          <w:sz w:val="22"/>
        </w:rPr>
        <w:t>2.8 Error structure and FDR-controlled shortlists</w:t>
      </w:r>
    </w:p>
    <w:p>
      <w:r>
        <w:t>Because a predictor is only useful if its errors are predictable, we stratified the held-out predictions (Table 6). Discrimination remains better for inferred than for experimentally supported sites (AUC 0.947 versus 0.907), the annotation-memory effect expected when 90% of labels are propagated: experimentally characterised sites are the atypical, family-specific cases that propagation does not cover, and they are exactly the ones a user is most likely to care about. Performance is stable across annotated topologies (cytoplasmic 0.887, extracellular 0.855, topology unknown 0.898), with the lumenal class too small to interpret (14 positives).</w:t>
      </w:r>
    </w:p>
    <w:p>
      <w:r>
        <w:t xml:space="preserve">For practical use we derived, </w:t>
      </w:r>
      <w:r>
        <w:rPr>
          <w:b/>
        </w:rPr>
        <w:t>within each fold</w:t>
      </w:r>
      <w:r>
        <w:t>, the threshold whose estimated false-discovery rate is at most a target value, and evaluated it on that fold's outer test rows (Figure 8b). At an estimated FDR of 1% the threshold retains 20.2% of known sites at 95.3% precision; at 5%, 34.5% at 90.3%; at 10%, 40.4% at 85.5%; at 20%, 53.5% at 76.6%. Thresholds are deliberately conservative, because the proteome-wide prior is small, and they give a principled way to generate a shortlist without committing to an arbitrary score cut-off.</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0.907</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0.947</w:t>
            </w:r>
          </w:p>
        </w:tc>
        <w:tc>
          <w:tcPr>
            <w:tcW w:type="dxa" w:w="2379"/>
          </w:tcPr>
          <w:p>
            <w:r>
              <w:rPr>
                <w:sz w:val="16"/>
              </w:rPr>
            </w:r>
            <w:r>
              <w:rPr>
                <w:sz w:val="16"/>
              </w:rPr>
              <w:t>0.682</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0.887</w:t>
            </w:r>
          </w:p>
        </w:tc>
        <w:tc>
          <w:tcPr>
            <w:tcW w:type="dxa" w:w="2379"/>
          </w:tcPr>
          <w:p>
            <w:r>
              <w:rPr>
                <w:sz w:val="16"/>
              </w:rPr>
            </w:r>
            <w:r>
              <w:rPr>
                <w:sz w:val="16"/>
              </w:rPr>
              <w:t>0.829</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0.855</w:t>
            </w:r>
          </w:p>
        </w:tc>
        <w:tc>
          <w:tcPr>
            <w:tcW w:type="dxa" w:w="2379"/>
          </w:tcPr>
          <w:p>
            <w:r>
              <w:rPr>
                <w:sz w:val="16"/>
              </w:rPr>
            </w:r>
            <w:r>
              <w:rPr>
                <w:sz w:val="16"/>
              </w:rPr>
              <w:t>0.375</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0.898</w:t>
            </w:r>
          </w:p>
        </w:tc>
        <w:tc>
          <w:tcPr>
            <w:tcW w:type="dxa" w:w="2379"/>
          </w:tcPr>
          <w:p>
            <w:r>
              <w:rPr>
                <w:sz w:val="16"/>
              </w:rPr>
            </w:r>
            <w:r>
              <w:rPr>
                <w:sz w:val="16"/>
              </w:rPr>
              <w:t>0.501</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0.540 against same-protein cysteines), and PalmDL separates the literature sites from those cysteines only weakly (AUC 0.585). Manual inspection explains why: genuine sites are mixed with extraction errors, and many genuine sites (MyD88 C113, iRhom2 C476, GRP78 C420) are transmembrane-proximal cysteines whose linear motif is weak, which is precisely the class that an annotation-trained model has least often seen.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behaves like the full set, so extraction noise is not the explanation. Allowing every site and every same-protein negative to score its best window within ±2 residues also leaves the ranking unchanged, so numbering offsets do not explain the failure either.</w:t>
      </w:r>
    </w:p>
    <w:p>
      <w:r>
        <w:t>Consistent with this, the curated sites are essentially absent from the proteome-wide shortlist: one of 99 appears at the 5% tier (expected 0.12 by chance) and two at the 20% tier. The honest conclusion is a domain-shift limitation that applies to any annotation-trained predictor, including PalmDL: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the field's headline numbers have never been checked on data that are simultaneously independent, site-level and motif-consistent, and automated literature mining does not yet close that gap.</w:t>
      </w:r>
    </w:p>
    <w:p>
      <w:r>
        <w:rPr>
          <w:b/>
          <w:sz w:val="18"/>
        </w:rPr>
        <w:t>Table 7. Automated literature mining as an external benchmark: yields and motif consistency.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136</w:t>
            </w:r>
          </w:p>
        </w:tc>
        <w:tc>
          <w:tcPr>
            <w:tcW w:type="dxa" w:w="2379"/>
          </w:tcPr>
          <w:p>
            <w:r>
              <w:rPr>
                <w:sz w:val="16"/>
              </w:rPr>
            </w:r>
            <w:r>
              <w:rPr>
                <w:sz w:val="16"/>
              </w:rPr>
              <w:t>0.540</w:t>
            </w:r>
          </w:p>
        </w:tc>
        <w:tc>
          <w:tcPr>
            <w:tcW w:type="dxa" w:w="2379"/>
          </w:tcPr>
          <w:p>
            <w:r>
              <w:rPr>
                <w:sz w:val="16"/>
              </w:rPr>
            </w:r>
            <w:r>
              <w:rPr>
                <w:sz w:val="16"/>
              </w:rPr>
              <w:t>0.585</w:t>
            </w:r>
          </w:p>
        </w:tc>
      </w:tr>
    </w:tbl>
    <w:p/>
    <w:p>
      <w:r>
        <w:t>Comparisons are against other cysteines of the same proteins. PWM AUC is the enrichment of a position-specific log-odds motif trained on the UniProt data; if the extracted positives were faithful, this value should approach the model AUC. The manually curated subset (99 unambiguous mentions in 82 proteins) is used for the overlap analysis rather than for a separate filter row.</w:t>
      </w:r>
    </w:p>
    <w:p>
      <w:pPr>
        <w:pStyle w:val="Heading2"/>
      </w:pPr>
      <w:r>
        <w:rPr>
          <w:rFonts w:ascii="Times New Roman" w:hAnsi="Times New Roman"/>
          <w:color w:val="000000"/>
          <w:sz w:val="22"/>
        </w:rPr>
        <w:t>2.11 A proteome-wide, FDR-controlled candidate list</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controlled the false-discovery rate with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61.8% of its sites carry annotated cytoplasmic topology versus 5.6% of all scanned cysteines — an 11.1-fold enrichment — and its highest-scoring entries include juxtamembrane cysteines of single-pass membrane proteins (endothelin receptor A C386/C388, claudin-2 C185, mucolipin-3 C550). Only one of the 136 literature-mined sites reaches the 20% tier, consistent with the motif-atypical nature of that set (§2.10).</w:t>
      </w:r>
    </w:p>
    <w:p>
      <w:r>
        <w:t>Three caveats bound the resource. First, the proteome-wide prior is small (557 annotated sites among 262,286 cysteines, ≈0.2%), so strict FDR control is intrinsically severe; users interested in discovery should work at the 20–30% tiers. Second, 82% of scanned cysteines have no topology annotation and are strongly depleted from the shortlist (38.2%), so the list is biased toward proteins with curated topology. Third, and most important, the decoy tail is thin — few shuffled decoys reach the top of the score distribution — so the estimated FDR is optimistic and the tiers should be read as candidate rankings rather than as proven error rates. Known-site recovery in the scan (44.5% at the 5% tier) is also an in-sample upper bound, because the released model was trained on all UniProt annotations; the corresponding out-of-fold recall is 34.5% (§2.8).</w:t>
      </w:r>
    </w:p>
    <w:p>
      <w:r>
        <w:rPr>
          <w:b/>
          <w:sz w:val="18"/>
        </w:rPr>
        <w:t>Table 8. Proteome-wide scan of the reviewed human proteome (262,286 cysteines) at five FDR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FDR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FDR is estimated by target–decoy comparison against 20,000 shuffled-flank decoys scored with the forest view; the decoy tail is thin, so these tiers are candidate rankings rather than proven error rates.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It does not cure the domain shift of §2.10. The class of sites that literature studies characterise — often transmembrane-proximal, sometimes weakly structured — is not rescued by burial or flexibility alone. Structure therefore improves ranking where annotations already exist, but it is not by itself the missing piece for genuinely novel sites.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PalmDL reaches AUC 0.944 overall and 0.914 on human sites. The best previously reported human AUC is 0.900 (GPS-Palm [8]); the best overall figure in the literature is 0.931 from a preprint using a site-level split (Deep-Palm [14]). Our human estimate is marginally above 0.900 (bootstrap P = 0.025) but its interval touches the published value, obtained under a protocol with zero shared windows. We therefore frame PalmDL as matching the published state of the art under a stricter protocol, with a small and uncertain advantage. This is not a head-to-head rerun: GPS-Palm's web server has been retired (HTTP 404 on 18 October 2026) and its standalone distribution is a GUI-only academic-licence package, so we could not score our test proteins with it. A true head-to-head on our released folds remains the single most important piece of missing evidence, and we provide the fold files to make it straightforward.</w:t>
      </w:r>
    </w:p>
    <w:p>
      <w:r>
        <w:t>The cross-species experiments split into two statements that are easy to conflate. When orthologues of the test species are available — the ordinary transfer setting, measured by the 6 × 6 matrix — mammalian models reach 0.85–0.95 on other mammals, effectively as good as within-species performance. When human-homologous clusters are removed, performance on human is 0.885. Most of the apparent generality of palmitoylation predictors therefore comes from orthologue coverage rather than from an abstract motif grammar. Bacterial lipidation does not belong in this comparison: after the label correction the bacterial positives are N-palmitoyl cysteines, a different modification with a different recognition logic, and we removed them rather than pretend that a transfer matrix over mixed chemistries measures the S-palmitoylation code.</w:t>
      </w:r>
    </w:p>
    <w:p>
      <w:r>
        <w:t>Two design choices follow from the error analysis. First, the gap between inferred (AUC 0.947) and experimental sites (0.907) is an annotation-memory effect that any user should know about: the experimentally characterised sites are the ones the propagation machinery does not already cover. Second, reporting a fixed 0.5 cut-off is less useful than reporting FDR-controlled operating points, because the deployable question is "how many predictions can I trust", not "what is my AUC". At a 5% estimated FDR the model retains 34.5% of known sites at 90.3% precision, which is a realistic basis for a shortlist.</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They also point in the expected direction: palmitoylated cysteines are less ordered and more exposed than the cysteines that surround them. But the domain shift documented in §2.10 is not simply a burial-versus-exposure problem, and structure alone will not close it; a larger structured training set, enzyme conditioning or orthogonal experimental data will be needed.</w:t>
      </w:r>
    </w:p>
    <w:p>
      <w:r>
        <w:rPr>
          <w:b/>
        </w:rPr>
        <w:t>Limitations.</w:t>
      </w:r>
      <w:r>
        <w:t xml:space="preserve"> (i) 90% of positives are inferred rather than experimental; we stratify by evidence but cannot eliminate label noise, and the 449 experimental sites are too few for a well-powered experimental-only benchmark. (ii) Background negatives are proteins without annotation, not proteins proven not to be palmitoylated; some are certainly false negatives, which biases absolute metrics downwards while leaving model ranking intact. (iii) Our cluster definition uses 4-mer cosine similarity, an operational proxy: cosine 0.28–0.34 corresponded to median 71% global identity in a sample of 30 pairs, so remote homologues below ~50% identity may still cross folds; the species holdout is the more conservative experiment and is reported for that reason.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 the public RFCM-PALM mouse MS data (PWM AUC 0.53; PalmDL 0.52) and our own literature-mined set (PWM AUC 0.54; PalmDL 0.59; §2.10) — so neither is used as a benchmark. Their failure is itself informative: site-level assignment in cysteine-rich or transmembrane contexts is not yet reliable at scale, which is why the field's headline numbers remain independently unverified. (vii) The proteome-wide scan in this revision uses the forest view, because the ESM view could not be run at proteome scale on the available CPU hardware within a reasonable time; the released model and the prediction service still use the full ensemble, and the forest view is the stronger single view on hard negatives.</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at the annotated position was a cysteine; the first version instead matched any note containing "palmitoyl", which admitted 2,381 N-/O-palmitoyl sites. Evidence codes were mapped to experimental (ECO:0000269, ECO:0007744, ECO:0007005, ECO:0006056) or inferred. Each site was represented by a 31-residue window centred on the cysteine and zero-padded with `X` at protein termini. Hard negatives were unannotated cysteines of positive-carrying proteins at least 16 residues from any palmitoylation site of any chemistry,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a threshold of 0.30, and clusters sharing an identical 31-residue window were merged, so no exact peptide occurs in two folds. Clusters were assigned to five folds with greedy balancing of positive counts (885 positives per fold). The species holdout used all human positives and human same-protein negatives as test; background negatives are human by construction and were excluded from both sides. Training used non-human sites after removing (i) every cluster containing a human protein and (ii) every annotation whose evidence referenced a human accession (`ECO:0000250|UniProtKB:&lt;human&gt;`). This leaves 1,480 training positives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For each outer fold, 15% of the training clusters were held out as an inner validation set for early stopping and threshold selection. Background negatives were subsampled to 1× the number of positives in training; test folds retained their natural composition. Thresholds were chosen to maximise MCC on the inner validation set, and a second threshold was chosen on a class-balanced subsample of the validation set for balanced metrics. Ensemble members were rank-transformed within fold and averaged with equal weights; a Platt scaling model was fitted on the inner validation scores and applied to test scores. Member subsets were compared by pooled validation AUC, never by test performance; the selected two-view combination achieved 0.9487, against 0.9428 for the forest, 0.9328 for ESM-2 and 0.9420 for the three-view variant.</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model comparisons used paired bootstrap on identical sites.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a PalmDL model (random forest plus ESM head) was trained on that species' positives, its same-protein negatives and an equal number of human background negatives. For the diagonal, 20% of the source species' protein clusters were held out and the model retrained on the remaining 80%; off-diagonal entries were predicted by the model trained on all source rows, after removing target rows whose cluster appears in training. The ESM head used 15% of the remaining clusters for early stopping (30 epochs, patience 6). AUC was computed on each target species' positives and same-protein negatives.</w:t>
      </w:r>
    </w:p>
    <w:p>
      <w:pPr>
        <w:pStyle w:val="Heading2"/>
      </w:pPr>
      <w:r>
        <w:rPr>
          <w:rFonts w:ascii="Times New Roman" w:hAnsi="Times New Roman"/>
          <w:color w:val="000000"/>
          <w:sz w:val="22"/>
        </w:rPr>
        <w:t>4.8 FDR-controlled operating points</w:t>
      </w:r>
    </w:p>
    <w:p>
      <w:r>
        <w:t>For each target FDR f and each fold separately, the validation rows were sorted by predicted probability and the largest threshold whose cumulative false-discovery fraction (FP / (TP + FP)) was ≤ f was selected. That fold's threshold was applied to that fold's outer test rows, and precision, recall and the number of predictions were pooled across folds. Thresholds are therefore never informed by other folds or by the test data.</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in the local UniProt tables were scored in chunks of 5,000 with the forest view of the released model, calibrated on the same out-of-fold validation rows as the ensemble. The ESM view was not run at this scale in the revision because the CPU-only language model could not be evaluated over 262,286 windows within a reasonable time. For the FDR estimate we drew 20,000 random target windows and shuffled their 30 flanking residues while keeping the central cysteine fixed; this destroys the motif but preserves the candidate class, whereas mutating the centre (C→A) leaves a motif-shaped window and yields a badly conservative null because the model ignores the identity of the central residue. FDR at a threshold was estimated as (number of decoys at or above the threshold) × (targets / decoys) divided by (number of targets at or above the threshold), and q-values were obtained by taking the running minimum over lower thresholds. Because the decoy tail is thin, the resulting FDR should be read as optimistic, and the tiers are reported as candidate rankings rather than as proven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which returns the current model URL; models were retrieved for chains shorter than 700 residues, covering 1,950 human sites (463 positives in 476 proteins). Per site we recorded the C-alpha pLDDT, the mean pLDDT of residues within ±5 positions, and the number of C-alpha atoms within 10 Å of the site C-alpha excluding sequence neighbours closer than four positions. The three features were standardised and appended to the base feature matrix; the same random forest and the same cluster-disjoint folds were used with and without them, so the comparison is paired at the fold level. The prediction service released with the paper exposes the sequence path by default.</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Code, processed data (including the canonical fold assignments), out-of-fold predictions, proteome-wide scores and the prediction service are archived at Zenodo (DOI: 10.5281/zenodo.23455873); the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Z, Wang C, Wang X, Wang J, Li Z, Zhang Y, et al. pCysMod: prediction of multiple cysteine modifications based on deep learning framework. </w:t>
      </w:r>
      <w:r>
        <w:rPr>
          <w:i/>
        </w:rPr>
        <w:t>Front Cell Dev Biol.</w:t>
      </w:r>
      <w:r>
        <w:t xml:space="preserve"> 2021;9:617366. doi:10.3389/fcell.2021.617366</w:t>
      </w:r>
    </w:p>
    <w:p>
      <w:pPr>
        <w:pStyle w:val="ListNumber"/>
      </w:pPr>
      <w:r>
        <w:t xml:space="preserve">Bandyopadhyay A,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L, Chen X, Cheng K, Chen K, Xu Z, Ren J, et al. CysModDB: a comprehensive platform with the integration of manually curated resources and analyses to facilitate the study of cysteine modifications. </w:t>
      </w:r>
      <w:r>
        <w:rPr>
          <w:i/>
        </w:rPr>
        <w:t>Brief Bioinform.</w:t>
      </w:r>
      <w:r>
        <w:t xml:space="preserve"> 2022;23(5):bbac460. doi:10.1093/bib/bbac460</w:t>
      </w:r>
    </w:p>
    <w:p>
      <w:pPr>
        <w:pStyle w:val="ListNumber"/>
      </w:pPr>
      <w:r>
        <w:t xml:space="preserve">Meng L, Chan WS, Huang L, Hu J, Wang J, Huang H, et al.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X,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449 experimentally supported versus 3,975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for the PWM baseline, logistic regression, random forest, CNN, ESM-2 view and the PalmDL ensemble (4,424 positives, 67,266 sites).</w:t>
      </w:r>
    </w:p>
    <w:p>
      <w:r>
        <w:rPr>
          <w:b/>
          <w:sz w:val="18"/>
        </w:rPr>
        <w:t>Figure 4. Performance on human sites under three evaluation regimes.</w:t>
      </w:r>
      <w:r>
        <w:rPr>
          <w:sz w:val="18"/>
        </w:rPr>
        <w:t xml:space="preserve"> (a) AUC and (b) class-balanced MCC for multi-species training with human test folds, human-only training, and the strict species holdout. PalmDL scores are shown where available.</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The palmitoylation code is shared across mammals and partly with plants.</w:t>
      </w:r>
      <w:r>
        <w:rPr>
          <w:sz w:val="18"/>
        </w:rPr>
        <w:t xml:space="preserve"> AUC of single-species PalmDL models, rows = training species, columns = test species, for the six species with at least 85 S-palmitoyl cysteine sites. Mammalian models transfer almost losslessly to other mammals; the plant model transfers only partially to mammals.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FDR-controlled operating points: precision against recall on the outer test folds when the threshold is chosen on validation at estimated FDR 1%, 5%, 10% and 20%.</w:t>
      </w:r>
    </w:p>
    <w:p>
      <w:r>
        <w:rPr>
          <w:b/>
          <w:sz w:val="18"/>
        </w:rPr>
        <w:t>Figure 9. Proteome-wide scan and candidate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0.944</w:t>
            </w:r>
          </w:p>
        </w:tc>
        <w:tc>
          <w:tcPr>
            <w:tcW w:type="dxa" w:w="1190"/>
          </w:tcPr>
          <w:p>
            <w:r>
              <w:rPr>
                <w:sz w:val="16"/>
              </w:rPr>
            </w:r>
            <w:r>
              <w:rPr>
                <w:sz w:val="16"/>
              </w:rPr>
              <w:t>0.730</w:t>
            </w:r>
          </w:p>
        </w:tc>
        <w:tc>
          <w:tcPr>
            <w:tcW w:type="dxa" w:w="1190"/>
          </w:tcPr>
          <w:p>
            <w:r>
              <w:rPr>
                <w:sz w:val="16"/>
              </w:rPr>
            </w:r>
            <w:r>
              <w:rPr>
                <w:sz w:val="16"/>
              </w:rPr>
              <w:t>0.611</w:t>
            </w:r>
          </w:p>
        </w:tc>
        <w:tc>
          <w:tcPr>
            <w:tcW w:type="dxa" w:w="1190"/>
          </w:tcPr>
          <w:p>
            <w:r>
              <w:rPr>
                <w:sz w:val="16"/>
              </w:rPr>
            </w:r>
            <w:r>
              <w:rPr>
                <w:sz w:val="16"/>
              </w:rPr>
              <w:t>0.766</w:t>
            </w:r>
          </w:p>
        </w:tc>
        <w:tc>
          <w:tcPr>
            <w:tcW w:type="dxa" w:w="1190"/>
          </w:tcPr>
          <w:p>
            <w:r>
              <w:rPr>
                <w:sz w:val="16"/>
              </w:rPr>
            </w:r>
            <w:r>
              <w:rPr>
                <w:sz w:val="16"/>
              </w:rPr>
              <w:t>0.953</w:t>
            </w:r>
          </w:p>
        </w:tc>
        <w:tc>
          <w:tcPr>
            <w:tcW w:type="dxa" w:w="1190"/>
          </w:tcPr>
          <w:p>
            <w:r>
              <w:rPr>
                <w:sz w:val="16"/>
              </w:rPr>
            </w:r>
            <w:r>
              <w:rPr>
                <w:sz w:val="16"/>
              </w:rPr>
              <w:t>0.623</w:t>
            </w:r>
          </w:p>
        </w:tc>
        <w:tc>
          <w:tcPr>
            <w:tcW w:type="dxa" w:w="1190"/>
          </w:tcPr>
          <w:p>
            <w:r>
              <w:rPr>
                <w:sz w:val="16"/>
              </w:rPr>
            </w:r>
            <w:r>
              <w:rPr>
                <w:sz w:val="16"/>
              </w:rPr>
              <w:t>0.976</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w:t>
            </w:r>
          </w:p>
        </w:tc>
        <w:tc>
          <w:tcPr>
            <w:tcW w:type="dxa" w:w="1360"/>
          </w:tcPr>
          <w:p>
            <w:r>
              <w:rPr>
                <w:sz w:val="16"/>
              </w:rPr>
            </w:r>
            <w:r>
              <w:rPr>
                <w:sz w:val="16"/>
              </w:rPr>
              <w:t>—</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0.914</w:t>
            </w:r>
          </w:p>
        </w:tc>
        <w:tc>
          <w:tcPr>
            <w:tcW w:type="dxa" w:w="1360"/>
          </w:tcPr>
          <w:p>
            <w:r>
              <w:rPr>
                <w:sz w:val="16"/>
              </w:rPr>
            </w:r>
            <w:r>
              <w:rPr>
                <w:sz w:val="16"/>
              </w:rPr>
              <w:t>0.689</w:t>
            </w:r>
          </w:p>
        </w:tc>
        <w:tc>
          <w:tcPr>
            <w:tcW w:type="dxa" w:w="1360"/>
          </w:tcPr>
          <w:p>
            <w:r>
              <w:rPr>
                <w:sz w:val="16"/>
              </w:rPr>
            </w:r>
            <w:r>
              <w:rPr>
                <w:sz w:val="16"/>
              </w:rPr>
              <w:t>0.898</w:t>
            </w:r>
          </w:p>
        </w:tc>
        <w:tc>
          <w:tcPr>
            <w:tcW w:type="dxa" w:w="1360"/>
          </w:tcPr>
          <w:p>
            <w:r>
              <w:rPr>
                <w:sz w:val="16"/>
              </w:rPr>
            </w:r>
            <w:r>
              <w:rPr>
                <w:sz w:val="16"/>
              </w:rPr>
              <w:t>0.615</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The palmitoylation code is eukaryotic.</w:t>
      </w:r>
    </w:p>
    <w:p>
      <w:pPr>
        <w:jc w:val="center"/>
      </w:pPr>
      <w:r>
        <w:drawing>
          <wp:inline xmlns:a="http://schemas.openxmlformats.org/drawingml/2006/main" xmlns:pic="http://schemas.openxmlformats.org/drawingml/2006/picture">
            <wp:extent cx="5940000" cy="2121622"/>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2121622"/>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FDR-controlled shortlist.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