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0.024; pooled ECE 0.018). A six-species transfer matrix shows heterogeneous transfer rather than a universal code: most mammalian pairs transfer at 0.83–0.95, the plant model reaches 0.739–0.785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report PalmDL's human AUC on a benchmark with zero shared windows alongside published values obtained on different data,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455 supported by experimental evidence codes and 3,969 inferred (mostly by similarity, 89.7%),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0.024, pooled 10-bin ECE 0.018;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the published values come from different data, negatives and splits.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trP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the arithmetic mean of the 18 observable mammalian off-diagonal cells is 0.901. Pig→Human (0.834) is the clear exception, 0.084 below the human diagonal. Pig's own diagonal is empty (fewer than 20 eligible positives), so no diagonal comparison is made for that row. The plant model reaches 0.739–0.785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For the human source only, the early-stopping split also contained 6,298 background negatives (the other sources use same-protein negatives), so the human row's model-selection condition is not fully matched; this is disclosed rather than corrected in this revision.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Fit and target rows exclude human background negatives; the human early-stopping split additionally contains 6,298 background negatives, unlike the other rows. Twenty percent of source clusters are held out for the diagonal and another 15% for early stopping; the 18-cell mammalian off-diagonal mean is 0.901.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pPr>
        <w:pStyle w:val="Heading2"/>
      </w:pPr>
      <w:r>
        <w:rPr>
          <w:rFonts w:ascii="Times New Roman" w:hAnsi="Times New Roman"/>
          <w:color w:val="000000"/>
          <w:sz w:val="22"/>
        </w:rPr>
        <w:t>2.8 Error structure and validation-target operating points</w:t>
      </w:r>
    </w:p>
    <w:p>
      <w:r>
        <w:t xml:space="preserve">Because a predictor is only useful if its errors are predictable, we stratified the held-out predictions (Table 6). Discrimination remains better for inferred than for experimentally supported sites (pooled AUC 0.941 versus 0.902; each tier uses its positives plus all 62,842 negatives).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Pooled performance is stable across annotated topologies (cytoplasmic 0.858, extracellular 0.828, topology unknown 0.900); the extracellular stratum contains 27 positives distributed across three folds while its pooled metrics include rows from all five folds, so it should be interpreted cautiously; the lumenal class (14 positives) is not interpretable. These pooled values differ from the unweighted fold means in Table 1, which are the primary estimates.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validation-target operating point,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0.902</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0.941</w:t>
            </w:r>
          </w:p>
        </w:tc>
        <w:tc>
          <w:tcPr>
            <w:tcW w:type="dxa" w:w="2379"/>
          </w:tcPr>
          <w:p>
            <w:r>
              <w:rPr>
                <w:sz w:val="16"/>
              </w:rPr>
            </w:r>
            <w:r>
              <w:rPr>
                <w:sz w:val="16"/>
              </w:rPr>
              <w:t>0.664</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0.858</w:t>
            </w:r>
          </w:p>
        </w:tc>
        <w:tc>
          <w:tcPr>
            <w:tcW w:type="dxa" w:w="2379"/>
          </w:tcPr>
          <w:p>
            <w:r>
              <w:rPr>
                <w:sz w:val="16"/>
              </w:rPr>
            </w:r>
            <w:r>
              <w:rPr>
                <w:sz w:val="16"/>
              </w:rPr>
              <w:t>0.808</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0.828</w:t>
            </w:r>
          </w:p>
        </w:tc>
        <w:tc>
          <w:tcPr>
            <w:tcW w:type="dxa" w:w="2379"/>
          </w:tcPr>
          <w:p>
            <w:r>
              <w:rPr>
                <w:sz w:val="16"/>
              </w:rPr>
            </w:r>
            <w:r>
              <w:rPr>
                <w:sz w:val="16"/>
              </w:rPr>
              <w:t>0.361</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0.900</w:t>
            </w:r>
          </w:p>
        </w:tc>
        <w:tc>
          <w:tcPr>
            <w:tcW w:type="dxa" w:w="2379"/>
          </w:tcPr>
          <w:p>
            <w:r>
              <w:rPr>
                <w:sz w:val="16"/>
              </w:rPr>
            </w:r>
            <w:r>
              <w:rPr>
                <w:sz w:val="16"/>
              </w:rPr>
              <w:t>0.512</w:t>
            </w:r>
          </w:p>
        </w:tc>
      </w:tr>
    </w:tbl>
    <w:p/>
    <w:p>
      <w:r>
        <w:rPr>
          <w:b/>
          <w:sz w:val="18"/>
        </w:rPr>
        <w:t>Table 6 note.</w:t>
      </w:r>
      <w:r>
        <w:rPr>
          <w:sz w:val="18"/>
        </w:rPr>
        <w:t xml:space="preserve"> AUC and AUPR pool all outer-test predictions. Evidence strata use their positives plus all 62,842 negatives; topology strata use rows in the same compartment. The extracellular stratum has 27 positives in three folds, while its pooled metrics include rows from all five folds.</w:t>
      </w:r>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also has little overlap with the candidate tiers (0/1/2 at 5%/20%/30%), consistent with the full set; extraction noise alone is not a sufficient explanation, but the curated set has no independent AUC of its own.</w:t>
      </w:r>
    </w:p>
    <w:p>
      <w:r>
        <w:t xml:space="preserve">The curated sites are almost absent from the candidate list: </w:t>
      </w:r>
      <w:r>
        <w:rPr>
          <w:b/>
        </w:rPr>
        <w:t>none of the 99 appears at the 5% tier, one at the 20% tier and two at the 30% tier</w:t>
      </w:r>
      <w:r>
        <w:t xml:space="preserve"> (the same counts as the full 136-site set). For PalmDL, the honest conclusion is a domain-shift limitation: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for our own model: its headline numbers have not been checked on data that are simultaneously independent, site-level and motif-consistent, and automated literature mining does not yet close that gap. A low motif score does not establish that a literature site is wrong; it shows that the site lies outside the motif distribution the model learned.</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candidate list with empirical q-values</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estimated empirical q-values against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empirical candidate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empirical tier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Empirical q-values are estimated by target–decoy comparison against 20,000 shuffled-flank decoys scored with the forest view; the decoy tail is thin, so these tiers are candidate rankings rather than proven error rates. Known-site recovery uses the 557 annotated human sites as its denominator.</w:t>
      </w:r>
    </w:p>
    <w:p>
      <w:pPr>
        <w:pStyle w:val="Heading2"/>
      </w:pPr>
      <w:r>
        <w:rPr>
          <w:rFonts w:ascii="Times New Roman" w:hAnsi="Times New Roman"/>
          <w:color w:val="000000"/>
          <w:sz w:val="22"/>
        </w:rPr>
        <w:t>2.12 A paired structural analysis on annotated human sites</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No structural model was run for the literature sites in this revision, so whether structure would help there is untested. The earlier claim that structure cannot close the domain shift is therefore withdrawn: the paired comparison only establishes a modest gain where annotated human sites have AlphaFold models.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rPr>
          <w:tblHeader w:val="true"/>
        </w:trP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Across the sampled species, most mammalian pairs transfer at 0.83–0.95 (18-cell mean 0.901), but Pig→Human is 0.834 and the plant→mammal direction is 0.739–0.785;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pooled AUC is 0.941 for inferred sites and 0.902 for experimentally supported sites; this evidence-tier difference matters to users and does not by itself identify its biological or annotation-related cause.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No structural model was available for the literature sites in this revision, so whether structure would help there remains untested rather than refuted.</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fit and target rows exclude human background negatives, while the human early-stopping split also contains 6,298 background negatives (disclosed in §2.7).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Empirical validation-target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 code, processed data (including the canonical fold assignments), out-of-fold predictions and proteome-wide scores are available at https://github.com/opus940810/palm-dl (release tag v2.1; the exact commit, file hashes and reproduction commands are listed in docs/REPRODUCE.md). The earlier v1.0.0 release is archived at Zenodo (DOI 10.5281/zenodo.23455873); it predates the label correction and must not be used for the results reported here, and a corrected Zenodo version will be deposited before publication. The prediction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SS,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analysis tools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455 experimentally supported versus 3,969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0.739–0.785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Validation-target operating points: precision against recall on the outer test folds when the threshold is chosen on validation at empirical targets of 1%, 5%, 10% and 20%; observed held-out false-discovery proportions are 4.7%, 10.0%, 15.1% and 24.1%.</w:t>
      </w:r>
    </w:p>
    <w:p>
      <w:r>
        <w:rPr>
          <w:b/>
          <w:sz w:val="18"/>
        </w:rPr>
        <w:t>Figure 9. Proteome-wide scan and candidate shortlist.</w:t>
      </w:r>
      <w:r>
        <w:rPr>
          <w:sz w:val="18"/>
        </w:rPr>
        <w:t xml:space="preserve"> (a) Score distributions of all 262,286 human cysteines and of 20,000 shuffled-flank decoys (log scale). (b) Empirical q-value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trP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Cross-species transfer is heterogeneous.</w:t>
      </w:r>
    </w:p>
    <w:p>
      <w:pPr>
        <w:jc w:val="center"/>
      </w:pPr>
      <w:r>
        <w:drawing>
          <wp:inline xmlns:a="http://schemas.openxmlformats.org/drawingml/2006/main" xmlns:pic="http://schemas.openxmlformats.org/drawingml/2006/picture">
            <wp:extent cx="5940000" cy="1949334"/>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1949334"/>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candidate shortlist with empirical q-values.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