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0.739–0.785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Fit and target rows exclude human background negatives; the human early-stopping split additionally contains 6,298 background negatives, unlike the other rows. Twenty percent of source clusters are held out for the diagonal and another 15% for early stopping;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stratum contains 27 positives distributed across three folds while its pooled metrics include rows from all five folds, so it should be interpreted cautiously;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r>
        <w:rPr>
          <w:b/>
          <w:sz w:val="18"/>
        </w:rPr>
        <w:t>Table 6 note.</w:t>
      </w:r>
      <w:r>
        <w:rPr>
          <w:sz w:val="18"/>
        </w:rPr>
        <w:t xml:space="preserve"> AUC and AUPR pool all outer-test predictions. Evidence strata use their positives plus all 62,842 negatives; topology strata use rows in the same compartment. The extracellular stratum has 27 positives in three folds, while its pooled metrics include rows from all five folds.</w:t>
      </w:r>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empirical tier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Empirical q-values are estimated by target–decoy comparison against 20,000 shuffled-flank decoys scored with the forest view; the decoy tail is thin, so these tiers are candidate rankings rather than proven error rates. Known-site recovery uses the 557 annotated human sites as its denominator.</w:t>
      </w:r>
    </w:p>
    <w:p>
      <w:pPr>
        <w:pStyle w:val="Heading2"/>
      </w:pPr>
      <w:r>
        <w:rPr>
          <w:rFonts w:ascii="Times New Roman" w:hAnsi="Times New Roman"/>
          <w:color w:val="000000"/>
          <w:sz w:val="22"/>
        </w:rPr>
        <w:t>2.12 A paired structural analysis on annotated human sites</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Across the sampled species,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pooled AUC is 0.941 for inferred sites and 0.902 for experimentally supported sites; this evidence-tier difference matters to users and does not by itself identify its biological or annotation-related cause.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fit and target rows exclude human background negatives, while the human early-stopping split also contains 6,298 background negatives (disclosed in §2.7).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v2.1 code, processed data (including the canonical fold assignments), out-of-fold predictions and proteome-wide scores are archived at Zenodo under the concept DOI 10.5281/zenodo.23455872 (version 2.1.0: 10.5281/zenodo.23537476) and available at GitHub tag v2.1 (https://github.com/opus940810/palm-dl; exact commit, file hashes and reproduction commands in docs/REPRODUCE.md). The superseded v1.0.0 release (DOI 10.5281/zenodo.23455873) predates the label correction and must not be used for the results reported here. The prediction service is available at [SERVICE-URL]. Supplementary Tables S1-S7 accompany the manuscript.</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0.739–0.785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Empirical q-value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Cross-species transfer is heterogeneous.</w:t>
      </w:r>
    </w:p>
    <w:p>
      <w:pPr>
        <w:jc w:val="center"/>
      </w:pPr>
      <w:r>
        <w:drawing>
          <wp:inline xmlns:a="http://schemas.openxmlformats.org/drawingml/2006/main" xmlns:pic="http://schemas.openxmlformats.org/drawingml/2006/picture">
            <wp:extent cx="5940000" cy="1949334"/>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1949334"/>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candidate shortlist with empirical q-values.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