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0.024; pooled ECE 0.018). A six-species transfer matrix shows heterogeneous transfer rather than a universal code: most mammalian pairs transfer at 0.83–0.95, the plant model reaches 0.74–0.78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report PalmDL's human AUC on a benchmark with zero shared windows alongside published values obtained on different data,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455 supported by experimental evidence codes and 3,969 inferred (mostly by similarity, 89.7%),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0.024, pooled 10-bin ECE 0.018;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the published values come from different data, negatives and splits.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trP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the arithmetic mean of the 18 observable mammalian off-diagonal cells is 0.901. Pig→Human (0.834) is the clear exception, 0.084 below the human diagonal. Pig's own diagonal is empty (fewer than 20 eligible positives), so no diagonal comparison is made for that row. The plant model reaches 0.739–0.785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For the human source only, the early-stopping split also contained 6,298 background negatives (the other sources use same-protein negatives), so the human row's model-selection condition is not fully matched; this is disclosed rather than corrected in this revision.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One model per source species is trained on its positives and same-protein negatives (no human background); 20% of source clusters are held out for the diagonal and another 15% for early stopping. For the human source the early-stopping split also contained 6,298 background negatives, unlike the other rows; the 18-cell mammalian off-diagonal mean is 0.901.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r>
        <w:t>Diagonal entries are from a protein-cluster-disjoint 20% holdout of the same species; off-diagonal entries use a model trained on all source rows, with target rows in the training clusters removed. Pig and A. thaliana have few held-out positives, so their diagonal is correspondingly noisy.</w:t>
      </w:r>
    </w:p>
    <w:p>
      <w:pPr>
        <w:pStyle w:val="Heading2"/>
      </w:pPr>
      <w:r>
        <w:rPr>
          <w:rFonts w:ascii="Times New Roman" w:hAnsi="Times New Roman"/>
          <w:color w:val="000000"/>
          <w:sz w:val="22"/>
        </w:rPr>
        <w:t>2.8 Error structure and validation-target operating points</w:t>
      </w:r>
    </w:p>
    <w:p>
      <w:r>
        <w:t xml:space="preserve">Because a predictor is only useful if its errors are predictable, we stratified the held-out predictions (Table 6). Discrimination remains better for inferred than for experimentally supported sites (pooled AUC 0.941 versus 0.902; each tier uses its positives plus all 62,842 negatives).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Pooled performance is stable across annotated topologies (cytoplasmic 0.858, extracellular 0.828, topology unknown 0.900); the extracellular estimate draws on three of five folds with both classes and the lumenal class (14 positives) is not interpretable. These pooled values differ from the unweighted fold means in Table 1, which are the primary estimates.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validation-target operating point,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0.902</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0.941</w:t>
            </w:r>
          </w:p>
        </w:tc>
        <w:tc>
          <w:tcPr>
            <w:tcW w:type="dxa" w:w="2379"/>
          </w:tcPr>
          <w:p>
            <w:r>
              <w:rPr>
                <w:sz w:val="16"/>
              </w:rPr>
            </w:r>
            <w:r>
              <w:rPr>
                <w:sz w:val="16"/>
              </w:rPr>
              <w:t>0.664</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0.858</w:t>
            </w:r>
          </w:p>
        </w:tc>
        <w:tc>
          <w:tcPr>
            <w:tcW w:type="dxa" w:w="2379"/>
          </w:tcPr>
          <w:p>
            <w:r>
              <w:rPr>
                <w:sz w:val="16"/>
              </w:rPr>
            </w:r>
            <w:r>
              <w:rPr>
                <w:sz w:val="16"/>
              </w:rPr>
              <w:t>0.808</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0.828</w:t>
            </w:r>
          </w:p>
        </w:tc>
        <w:tc>
          <w:tcPr>
            <w:tcW w:type="dxa" w:w="2379"/>
          </w:tcPr>
          <w:p>
            <w:r>
              <w:rPr>
                <w:sz w:val="16"/>
              </w:rPr>
            </w:r>
            <w:r>
              <w:rPr>
                <w:sz w:val="16"/>
              </w:rPr>
              <w:t>0.361</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0.900</w:t>
            </w:r>
          </w:p>
        </w:tc>
        <w:tc>
          <w:tcPr>
            <w:tcW w:type="dxa" w:w="2379"/>
          </w:tcPr>
          <w:p>
            <w:r>
              <w:rPr>
                <w:sz w:val="16"/>
              </w:rPr>
            </w:r>
            <w:r>
              <w:rPr>
                <w:sz w:val="16"/>
              </w:rPr>
              <w:t>0.512</w:t>
            </w:r>
          </w:p>
        </w:tc>
      </w:tr>
    </w:tbl>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also has little overlap with the candidate tiers (0/1/2 at 5%/20%/30%), consistent with the full set; extraction noise alone is not a sufficient explanation, but the curated set has no independent AUC of its own.</w:t>
      </w:r>
    </w:p>
    <w:p>
      <w:r>
        <w:t xml:space="preserve">The curated sites are almost absent from the candidate list: </w:t>
      </w:r>
      <w:r>
        <w:rPr>
          <w:b/>
        </w:rPr>
        <w:t>none of the 99 appears at the 5% tier, one at the 20% tier and two at the 30% tier</w:t>
      </w:r>
      <w:r>
        <w:t xml:space="preserve"> (the same counts as the full 136-site set). For PalmDL, the honest conclusion is a domain-shift limitation: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for our own model: its headline numbers have not been checked on data that are simultaneously independent, site-level and motif-consistent, and automated literature mining does not yet close that gap. A low motif score does not establish that a literature site is wrong; it shows that the site lies outside the motif distribution the model learned.</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candidate list with empirical q-values</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estimated empirical q-values against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empirical candidate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FDR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FDR is estimated by target–decoy comparison against 20,000 shuffled-flank decoys scored with the forest view; the decoy tail is thin, so these tiers are candidate rankings rather than proven error rates.</w:t>
      </w:r>
    </w:p>
    <w:p>
      <w:pPr>
        <w:pStyle w:val="Heading2"/>
      </w:pPr>
      <w:r>
        <w:rPr>
          <w:rFonts w:ascii="Times New Roman" w:hAnsi="Times New Roman"/>
          <w:color w:val="000000"/>
          <w:sz w:val="22"/>
        </w:rPr>
        <w:t>2.12 A structure-aware prototype: useful inside the annotation distribution, not outside it</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No structural model was run for the literature sites in this revision, so whether structure would help there is untested. The earlier claim that structure cannot close the domain shift is therefore withdrawn: the paired comparison only establishes a modest gain where annotated human sites have AlphaFold models.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rPr>
          <w:tblHeader w:val="true"/>
        </w:trP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With orthologues available, most mammalian pairs transfer at 0.83–0.95 (18-cell mean 0.901), but Pig→Human is 0.834 and the plant→mammal direction is 0.739–0.785;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the gap between inferred (AUC 0.947) and experimental sites (0.907) is an annotation-memory effect that any user should know about.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No structural model was available for the literature sites in this revision, so whether structure would help there remains untested rather than refuted.</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human background negatives were excluded.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Empirical validation-target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 code, processed data (including the canonical fold assignments), out-of-fold predictions and proteome-wide scores are available at https://github.com/opus940810/palm-dl (release tag v2.1; the exact commit, file hashes and reproduction commands are listed in docs/REPRODUCE.md). The earlier v1.0.0 release is archived at Zenodo (DOI 10.5281/zenodo.23455873); it predates the label correction and must not be used for the results reported here, and a corrected Zenodo version will be deposited before publication. The prediction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SS,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analysis tools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455 experimentally supported versus 3,969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0.74–0.78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Validation-target operating points: precision against recall on the outer test folds when the threshold is chosen on validation at empirical targets of 1%, 5%, 10% and 20%; observed held-out false-discovery proportions are 4.7%, 10.0%, 15.1% and 24.1%.</w:t>
      </w:r>
    </w:p>
    <w:p>
      <w:r>
        <w:rPr>
          <w:b/>
          <w:sz w:val="18"/>
        </w:rPr>
        <w:t>Figure 9. Proteome-wide scan and candidate shortlist.</w:t>
      </w:r>
      <w:r>
        <w:rPr>
          <w:sz w:val="18"/>
        </w:rPr>
        <w:t xml:space="preserve"> (a) Score distributions of all 262,286 human cysteines and of 20,000 shuffled-flank decoys (log scale). (b) Estimated FDR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trP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The palmitoylation code is eukaryotic.</w:t>
      </w:r>
    </w:p>
    <w:p>
      <w:pPr>
        <w:jc w:val="center"/>
      </w:pPr>
      <w:r>
        <w:drawing>
          <wp:inline xmlns:a="http://schemas.openxmlformats.org/drawingml/2006/main" xmlns:pic="http://schemas.openxmlformats.org/drawingml/2006/picture">
            <wp:extent cx="5940000" cy="2137201"/>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2137201"/>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FDR-controlled shortlist.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