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6DB657CA" w14:textId="3F916D8D" w:rsidR="001366A4" w:rsidRPr="00603BF5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59745287" w:history="1">
            <w:r w:rsidR="001366A4" w:rsidRPr="00603BF5">
              <w:rPr>
                <w:rStyle w:val="Hipercze"/>
              </w:rPr>
              <w:t>WSTĘP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_Toc159745287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1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752BF3F" w14:textId="7CDACE48" w:rsidR="001366A4" w:rsidRPr="00603BF5" w:rsidRDefault="00000000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8" w:history="1">
            <w:r w:rsidR="001366A4" w:rsidRPr="00603BF5">
              <w:rPr>
                <w:rStyle w:val="Hipercze"/>
                <w:rFonts w:cs="Times New Roman"/>
              </w:rPr>
              <w:t>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ANALIZA WYMAGAŃ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_Toc159745288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0C7F85DE" w14:textId="7C993016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89" w:history="1">
            <w:r w:rsidR="001366A4" w:rsidRPr="00603BF5">
              <w:rPr>
                <w:rStyle w:val="Hipercze"/>
                <w:rFonts w:cs="Times New Roman"/>
              </w:rPr>
              <w:t>1.1.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Wymagania biznesowe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_Toc159745289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2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133F4F0C" w14:textId="7A20B08B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0" w:history="1">
            <w:r w:rsidR="001366A4" w:rsidRPr="00603BF5">
              <w:rPr>
                <w:rStyle w:val="Hipercze"/>
                <w:rFonts w:cs="Times New Roman"/>
              </w:rPr>
              <w:t>1.2.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modeli domenowych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_Toc159745290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4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7EC83814" w14:textId="7160F8A2" w:rsidR="001366A4" w:rsidRPr="00603BF5" w:rsidRDefault="00000000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159745291" w:history="1">
            <w:r w:rsidR="001366A4" w:rsidRPr="00603BF5">
              <w:rPr>
                <w:rStyle w:val="Hipercze"/>
                <w:rFonts w:cs="Times New Roman"/>
              </w:rPr>
              <w:t>1.3.</w:t>
            </w:r>
            <w:r w:rsidR="001366A4" w:rsidRPr="00603BF5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1366A4" w:rsidRPr="00603BF5">
              <w:rPr>
                <w:rStyle w:val="Hipercze"/>
                <w:rFonts w:cs="Times New Roman"/>
              </w:rPr>
              <w:t>Diagram przypadków użycia</w:t>
            </w:r>
            <w:r w:rsidR="001366A4" w:rsidRPr="00603BF5">
              <w:rPr>
                <w:webHidden/>
              </w:rPr>
              <w:tab/>
            </w:r>
            <w:r w:rsidR="001366A4" w:rsidRPr="00603BF5">
              <w:rPr>
                <w:webHidden/>
              </w:rPr>
              <w:fldChar w:fldCharType="begin"/>
            </w:r>
            <w:r w:rsidR="001366A4" w:rsidRPr="00603BF5">
              <w:rPr>
                <w:webHidden/>
              </w:rPr>
              <w:instrText xml:space="preserve"> PAGEREF _Toc159745291 \h </w:instrText>
            </w:r>
            <w:r w:rsidR="001366A4" w:rsidRPr="00603BF5">
              <w:rPr>
                <w:webHidden/>
              </w:rPr>
            </w:r>
            <w:r w:rsidR="001366A4" w:rsidRPr="00603BF5">
              <w:rPr>
                <w:webHidden/>
              </w:rPr>
              <w:fldChar w:fldCharType="separate"/>
            </w:r>
            <w:r w:rsidR="001366A4" w:rsidRPr="00603BF5">
              <w:rPr>
                <w:webHidden/>
              </w:rPr>
              <w:t>6</w:t>
            </w:r>
            <w:r w:rsidR="001366A4" w:rsidRPr="00603BF5">
              <w:rPr>
                <w:webHidden/>
              </w:rPr>
              <w:fldChar w:fldCharType="end"/>
            </w:r>
          </w:hyperlink>
        </w:p>
        <w:p w14:paraId="6F054200" w14:textId="621C445C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59745287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5EFCB0C9" w14:textId="77777777" w:rsidR="00433CBC" w:rsidRPr="00603BF5" w:rsidRDefault="00433CBC" w:rsidP="00433CBC"/>
    <w:p w14:paraId="29548998" w14:textId="77777777" w:rsidR="00433CBC" w:rsidRPr="00603BF5" w:rsidRDefault="00433CBC" w:rsidP="00433CBC"/>
    <w:p w14:paraId="62BD74DA" w14:textId="77777777" w:rsidR="00433CBC" w:rsidRPr="00603BF5" w:rsidRDefault="00433CBC" w:rsidP="00433CBC"/>
    <w:p w14:paraId="275EC1AD" w14:textId="77777777" w:rsidR="00433CBC" w:rsidRPr="00603BF5" w:rsidRDefault="00433CBC" w:rsidP="00433CBC"/>
    <w:p w14:paraId="4E8C8187" w14:textId="77777777" w:rsidR="00433CBC" w:rsidRPr="00603BF5" w:rsidRDefault="00433CBC" w:rsidP="00433CBC"/>
    <w:p w14:paraId="4D156E5B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59745288"/>
      <w:r w:rsidRPr="00603BF5">
        <w:rPr>
          <w:rFonts w:cs="Times New Roman"/>
          <w:szCs w:val="28"/>
        </w:rPr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9745289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C5A95B6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</w:t>
      </w:r>
      <w:r w:rsidR="00D0153A" w:rsidRPr="00603BF5">
        <w:rPr>
          <w:rFonts w:cs="Times New Roman"/>
          <w:szCs w:val="24"/>
        </w:rPr>
        <w:lastRenderedPageBreak/>
        <w:t>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>, a następnie przekierowywać ich do konkretnego 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9745290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6B2545F3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13136C" w:rsidRPr="00603BF5">
        <w:rPr>
          <w:rFonts w:cs="Times New Roman"/>
        </w:rPr>
        <w:fldChar w:fldCharType="begin"/>
      </w:r>
      <w:r w:rsidR="0013136C" w:rsidRPr="00603BF5">
        <w:rPr>
          <w:rFonts w:cs="Times New Roman"/>
        </w:rPr>
        <w:instrText xml:space="preserve"> STYLEREF 1 \s </w:instrText>
      </w:r>
      <w:r w:rsidR="0013136C" w:rsidRPr="00603BF5">
        <w:rPr>
          <w:rFonts w:cs="Times New Roman"/>
        </w:rPr>
        <w:fldChar w:fldCharType="separate"/>
      </w:r>
      <w:r w:rsidR="0013136C" w:rsidRPr="00603BF5">
        <w:rPr>
          <w:rFonts w:cs="Times New Roman"/>
        </w:rPr>
        <w:t>1</w:t>
      </w:r>
      <w:r w:rsidR="0013136C" w:rsidRPr="00603BF5">
        <w:rPr>
          <w:rFonts w:cs="Times New Roman"/>
        </w:rPr>
        <w:fldChar w:fldCharType="end"/>
      </w:r>
      <w:r w:rsidR="0013136C" w:rsidRPr="00603BF5">
        <w:rPr>
          <w:rFonts w:cs="Times New Roman"/>
        </w:rPr>
        <w:t>.</w:t>
      </w:r>
      <w:r w:rsidR="0013136C" w:rsidRPr="00603BF5">
        <w:rPr>
          <w:rFonts w:cs="Times New Roman"/>
        </w:rPr>
        <w:fldChar w:fldCharType="begin"/>
      </w:r>
      <w:r w:rsidR="0013136C" w:rsidRPr="00603BF5">
        <w:rPr>
          <w:rFonts w:cs="Times New Roman"/>
        </w:rPr>
        <w:instrText xml:space="preserve"> SEQ Rys. \* ARABIC \s 1 </w:instrText>
      </w:r>
      <w:r w:rsidR="0013136C" w:rsidRPr="00603BF5">
        <w:rPr>
          <w:rFonts w:cs="Times New Roman"/>
        </w:rPr>
        <w:fldChar w:fldCharType="separate"/>
      </w:r>
      <w:r w:rsidR="0013136C" w:rsidRPr="00603BF5">
        <w:rPr>
          <w:rFonts w:cs="Times New Roman"/>
        </w:rPr>
        <w:t>1</w:t>
      </w:r>
      <w:r w:rsidR="0013136C" w:rsidRPr="00603BF5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59745291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09076EC3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 zaś oznacza, że jeden z przypadków użycia składa się z jednego lub kilku innych.</w:t>
      </w:r>
    </w:p>
    <w:p w14:paraId="7BF29AB9" w14:textId="3CE838A9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Pr="00603BF5">
        <w:rPr>
          <w:rFonts w:cs="Times New Roman"/>
          <w:szCs w:val="24"/>
        </w:rPr>
        <w:t>na rysunku 1.1, oraz opisu wymagań biznesowych, wykonany został diagram przypadków użycia – rysunek 1.2</w:t>
      </w:r>
      <w:r w:rsidR="006B2D62">
        <w:t>,</w:t>
      </w:r>
      <w:r w:rsidR="00E82EC7">
        <w:t xml:space="preserve"> który</w:t>
      </w:r>
      <w:r w:rsidR="006B2D62">
        <w:t xml:space="preserve"> zawiera 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aktor to recepcjonista. Jego zadaniem jest potwierdzić obecność pacjent tuż przed wizytą lekarską. Aby to zrobić, recepcjonista musi mieć możliwość sprawdzenia kalendarza umówionych wizyt.</w:t>
      </w:r>
      <w:r w:rsidR="00433720">
        <w:t xml:space="preserve"> Ponadto, funkcją recepcjonisty jest również zarządzanie rejestrem lekarzy oraz rejestrem pacjentów.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983418A">
            <wp:extent cx="5775960" cy="3841402"/>
            <wp:effectExtent l="0" t="0" r="0" b="698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0F5AEF41" w:rsidR="00603BF5" w:rsidRDefault="0013136C" w:rsidP="006B2D62">
      <w:pPr>
        <w:pStyle w:val="Legenda"/>
        <w:jc w:val="center"/>
      </w:pPr>
      <w:r w:rsidRPr="00603BF5">
        <w:t xml:space="preserve">Rys. </w:t>
      </w:r>
      <w:r w:rsidRPr="00603BF5">
        <w:fldChar w:fldCharType="begin"/>
      </w:r>
      <w:r w:rsidRPr="00603BF5">
        <w:instrText xml:space="preserve"> STYLEREF 1 \s </w:instrText>
      </w:r>
      <w:r w:rsidRPr="00603BF5">
        <w:fldChar w:fldCharType="separate"/>
      </w:r>
      <w:r w:rsidRPr="00603BF5">
        <w:t>1</w:t>
      </w:r>
      <w:r w:rsidRPr="00603BF5">
        <w:fldChar w:fldCharType="end"/>
      </w:r>
      <w:r w:rsidRPr="00603BF5">
        <w:t>.</w:t>
      </w:r>
      <w:r w:rsidRPr="00603BF5">
        <w:fldChar w:fldCharType="begin"/>
      </w:r>
      <w:r w:rsidRPr="00603BF5">
        <w:instrText xml:space="preserve"> SEQ Rys. \* ARABIC \s 1 </w:instrText>
      </w:r>
      <w:r w:rsidRPr="00603BF5">
        <w:fldChar w:fldCharType="separate"/>
      </w:r>
      <w:r w:rsidRPr="00603BF5">
        <w:t>2</w:t>
      </w:r>
      <w:r w:rsidRPr="00603BF5">
        <w:fldChar w:fldCharType="end"/>
      </w:r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</w:p>
    <w:p w14:paraId="416E03CC" w14:textId="77777777" w:rsidR="00710AEE" w:rsidRPr="00710AEE" w:rsidRDefault="00710AEE" w:rsidP="00710AEE">
      <w:pPr>
        <w:spacing w:line="360" w:lineRule="auto"/>
        <w:jc w:val="both"/>
      </w:pPr>
    </w:p>
    <w:sectPr w:rsidR="00710AEE" w:rsidRPr="00710AEE" w:rsidSect="00482A12"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DD72" w14:textId="77777777" w:rsidR="00482A12" w:rsidRPr="00603BF5" w:rsidRDefault="00482A12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2B5184D4" w14:textId="77777777" w:rsidR="00482A12" w:rsidRPr="00603BF5" w:rsidRDefault="00482A12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13E9" w14:textId="77777777" w:rsidR="00482A12" w:rsidRPr="00603BF5" w:rsidRDefault="00482A12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734AD35E" w14:textId="77777777" w:rsidR="00482A12" w:rsidRPr="00603BF5" w:rsidRDefault="00482A12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37B80"/>
    <w:rsid w:val="00044AD1"/>
    <w:rsid w:val="00083CAA"/>
    <w:rsid w:val="000865ED"/>
    <w:rsid w:val="000C1BC3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201A26"/>
    <w:rsid w:val="00294958"/>
    <w:rsid w:val="002C4E17"/>
    <w:rsid w:val="002D16AC"/>
    <w:rsid w:val="002E06BE"/>
    <w:rsid w:val="00303733"/>
    <w:rsid w:val="00307DEE"/>
    <w:rsid w:val="00313335"/>
    <w:rsid w:val="00345D16"/>
    <w:rsid w:val="00357A41"/>
    <w:rsid w:val="004154E8"/>
    <w:rsid w:val="00433720"/>
    <w:rsid w:val="00433CBC"/>
    <w:rsid w:val="0044292D"/>
    <w:rsid w:val="004561F0"/>
    <w:rsid w:val="00482A12"/>
    <w:rsid w:val="004845F8"/>
    <w:rsid w:val="004D200F"/>
    <w:rsid w:val="004E170C"/>
    <w:rsid w:val="004F2D34"/>
    <w:rsid w:val="004F310E"/>
    <w:rsid w:val="00532D27"/>
    <w:rsid w:val="005356FF"/>
    <w:rsid w:val="005809CA"/>
    <w:rsid w:val="00587B56"/>
    <w:rsid w:val="005933C7"/>
    <w:rsid w:val="0059525F"/>
    <w:rsid w:val="005C0C4B"/>
    <w:rsid w:val="005C76F5"/>
    <w:rsid w:val="005D443E"/>
    <w:rsid w:val="005D47AD"/>
    <w:rsid w:val="006023D4"/>
    <w:rsid w:val="00602769"/>
    <w:rsid w:val="00603BF5"/>
    <w:rsid w:val="006071E1"/>
    <w:rsid w:val="00682B76"/>
    <w:rsid w:val="006B2D62"/>
    <w:rsid w:val="006D3B56"/>
    <w:rsid w:val="006F0BC4"/>
    <w:rsid w:val="00710AEE"/>
    <w:rsid w:val="00716278"/>
    <w:rsid w:val="00740E86"/>
    <w:rsid w:val="00777A7C"/>
    <w:rsid w:val="0078365F"/>
    <w:rsid w:val="00786443"/>
    <w:rsid w:val="007A36C5"/>
    <w:rsid w:val="007B31E0"/>
    <w:rsid w:val="007F2A40"/>
    <w:rsid w:val="0082792B"/>
    <w:rsid w:val="00860B6C"/>
    <w:rsid w:val="00895131"/>
    <w:rsid w:val="008E60C1"/>
    <w:rsid w:val="008F30CC"/>
    <w:rsid w:val="00917EDC"/>
    <w:rsid w:val="009279B2"/>
    <w:rsid w:val="00935537"/>
    <w:rsid w:val="00997569"/>
    <w:rsid w:val="00A019D5"/>
    <w:rsid w:val="00AB238A"/>
    <w:rsid w:val="00AB4A05"/>
    <w:rsid w:val="00AD7E9F"/>
    <w:rsid w:val="00B206BF"/>
    <w:rsid w:val="00B33715"/>
    <w:rsid w:val="00B62653"/>
    <w:rsid w:val="00B665C8"/>
    <w:rsid w:val="00B802AA"/>
    <w:rsid w:val="00BD54BF"/>
    <w:rsid w:val="00BE5F32"/>
    <w:rsid w:val="00C10172"/>
    <w:rsid w:val="00C516F7"/>
    <w:rsid w:val="00CB1C53"/>
    <w:rsid w:val="00CD3EE2"/>
    <w:rsid w:val="00CD5D64"/>
    <w:rsid w:val="00CE0496"/>
    <w:rsid w:val="00CF7E83"/>
    <w:rsid w:val="00D0153A"/>
    <w:rsid w:val="00D123AE"/>
    <w:rsid w:val="00D703C3"/>
    <w:rsid w:val="00D74B4C"/>
    <w:rsid w:val="00DB1120"/>
    <w:rsid w:val="00DF6367"/>
    <w:rsid w:val="00E046C0"/>
    <w:rsid w:val="00E15315"/>
    <w:rsid w:val="00E200C3"/>
    <w:rsid w:val="00E30E24"/>
    <w:rsid w:val="00E34C78"/>
    <w:rsid w:val="00E51EDE"/>
    <w:rsid w:val="00E54ABC"/>
    <w:rsid w:val="00E82EC7"/>
    <w:rsid w:val="00EA5CBE"/>
    <w:rsid w:val="00F06C1B"/>
    <w:rsid w:val="00F166D2"/>
    <w:rsid w:val="00F230AD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925</Words>
  <Characters>5556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110</cp:revision>
  <dcterms:created xsi:type="dcterms:W3CDTF">2024-01-27T08:09:00Z</dcterms:created>
  <dcterms:modified xsi:type="dcterms:W3CDTF">2024-03-02T11:11:00Z</dcterms:modified>
</cp:coreProperties>
</file>