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9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Лабораторная работа №1.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29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Настройка работы системы контроля версий (типов импортируемых файлов, путей, фильтров и др. параметров импорта в репозиторий)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29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Цель работы: освоить навыки работы с системой контроля GIT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90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Необходимые теоретические 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29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Введение Git</w:t>
      </w:r>
      <w:r>
        <w:rPr>
          <w:b/>
          <w:bCs/>
        </w:rPr>
      </w:r>
    </w:p>
    <w:p>
      <w:pPr>
        <w:pStyle w:val="629"/>
        <w:jc w:val="both"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Git — распределённая система контроля версий: система, записывающая изменения в файл или набор файлов в течение времени и позволя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ющая вернуться позже к определённой версии. Для контроля версий файлов в этой книге в качестве примера будет использоваться исходный код программного обеспечения, хотя на самом деле вы можете использовать контроль версий практически для любых типов файлов.</w:t>
      </w:r>
      <w:r/>
    </w:p>
    <w:p>
      <w:pPr>
        <w:pStyle w:val="629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Если вы графический или web-дизайнер и хотите сохранить каждую версию изображения или макета (скорее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всего, захотите), система контроля версий (далее СКВ)</w:t>
        <w:tab/>
        <w:t xml:space="preserve">—</w:t>
        <w:tab/>
        <w:t xml:space="preserve">как раз то, что нужно. Она позволяет вернуть файлы к состоянию, в котором они были до изменений, вернуть проект к исходному состоянию, увидеть изменения, увидеть, кто последний менял что-то и вызвал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проблему, кто поставил задачу и когда и многое другое. Использование СКВ также значит в целом, что, если вы сломали что-то или потеряли файлы, вы спокойно можете всё исправить. В дополнение ко всему вы получите всё это без каких-либо дополнительных усилий.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2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Схема работы с git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29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63850" cy="5054600"/>
                <wp:effectExtent l="0" t="0" r="0" b="0"/>
                <wp:docPr id="1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63850" cy="5054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5.50pt;height:398.0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29"/>
        <w:jc w:val="both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Основные команды git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Создание пустого git репозитория в папке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&lt;dir&gt;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. Если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&lt;dir&gt;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не задана — пустой репозиторий инициализируется в текущей папке (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&lt;dir&gt; = .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). Все базы данных для работы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создаются в «скрытой» папке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&lt;dir&gt;/.git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. Такой репозиторий хранит локальную историю версий рабочей директории.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init &lt;dir&gt; 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Создание простого пустого git репозитория в папке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&lt;dir&gt;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. Если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&lt;dir&gt;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не задана — пустой репозиторий инициализируется в текущей папке (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&lt;dir&gt; = .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). При таком варианте создания репозитория, папка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&lt;dir&gt;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содержит исключительно историю версий. Такой вариант создания репозитория необходимо использовать для совместного использования созданного репозитория.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Репозиторий не содержит «рабочей» версии, позволяющей работать с проектом непосредственного в рабочей папке.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init --bare &lt;dir&gt; 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Сам по себе git работает полностью локально, без выхода в Интернет.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При этом вокруг git появилась целая экосистема сервисов: облачные хранилища репозиториев (с поддержкой git-команд прямо в браузере), системы автоматической сборки (проекта, документации к нему и т.д.), автоматического поиска уязвимостей в коде (например, </w:t>
      </w:r>
      <w:hyperlink r:id="rId10" w:tooltip="https://snyk.io/" w:history="1">
        <w:r>
          <w:rPr>
            <w:rFonts w:ascii="Times New Roman" w:hAnsi="Times New Roman" w:eastAsia="Times New Roman" w:cs="Times New Roman"/>
            <w:color w:val="0000ee"/>
            <w:sz w:val="28"/>
            <w:szCs w:val="24"/>
            <w:u w:val="single"/>
          </w:rPr>
          <w:t xml:space="preserve">Snik.io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) и многие другие. Поскольку git работает полностью локально, работа с ним обычно строится следующим образом: сначала код выгружается из какого-либо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облачного хранилища, затем локально (на компьютере) делаются изменения, делается коммит этих изменений (о нем ниже, пока "коммит" стоит понимать как "сохранение") и в отправляется обратно в облачное хранилище. Выгрузить репозиторий с облака можно командой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clone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. Она создаёт копию git репозитория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&lt;rep&gt;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в папке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&lt;dir&gt;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и автоматически настраивать git так, чтобы он был в курсе, откуда был скачан репозиторий. Если имя папки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&lt;dir&gt;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не задано — имя папки выбирается автоматически на основании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&lt;rep&gt;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.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clone &lt;rep&gt; &lt;dir&gt; 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Примеры использования: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Клонирование локального репозитория: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clone /path/to/repository/directory 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Клонирование удалённого интернет репозитория: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clone https://github.com/path/to/repository 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Клонирование удалённого репозитория по протоколу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ssh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(не будет просить пароль и соединение будет более безопасным):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clone ssh://&lt;username&gt;@&lt;address&gt;/path/to/repository/directory 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Почти во всех облачных хранилищах (далее будем их иногда называть "удаленное хранилище", remote) есть разделение прав доступа, и у вас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не всегда получится отправить свои изменения в чужой репозиторий. Проблема решается так: вы создаете полную копию кода в своем аккаунте (такой репозиторий называется fork), делаете в нем изменения и потом предлагаете свои изменения оригинальному владельцу.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Есть возможность получить только содержимое папки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.git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(обычно используется на серверных машинах):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clone --bare &lt;rep&gt; 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Настройка git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После создания (клонирования) репозитория, необходимо настроить информацию, о том, кто будет работать с ним работать. Для этого необходимо сообщить информацию об имени и почте по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льзователя. Данная информацию может быть сохранена локально — сохраняется только для данного репозитория и глобальной — информация сохраняется для текущего пользователя ОС (Windows, Linux, OS) и её не надо будет заново вводить для последующих репозиториев.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config --global user.name="Тут имя"  git config --global user.email="Почта"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или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config --local user.name="Тут имя"  git config --local user.email="Почта"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Работа с репозиторием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Отметить изменения в файле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&lt;filename&gt;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— изменения, сделанные в файле, подготавливаются для их фиксации как отдельной версии в репозитории.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add &lt;filename&gt; 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Отметить изменения во всех доступных файлах репозитория: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add * 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Отменить действие команды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add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для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&lt;filename&gt;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reset -- &lt;filename&gt; 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Зафиксировать все подготовленные, с использованием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add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, изменения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commit -m "commit message"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Посмотреть текущее состояние репозитория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status 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Откатить все изменения, сделанные после фиксации (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commit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)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checkout -- . 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Коммит - это "снимок" вашего кода в данный момент времени. Когда вы сделали коммит, вы сможете вернуться к нему в любой момент - и получить свой проект в том состоянии, в котором вы сделали этот коммит.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Взаимодействие с внешним репозиторием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Загрузить из внешнего репозитория все изменения.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Возможно потребуется разрешение конфликтов, если файл был изменён различными пользователями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pull 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Выгрузить, зафиксированные на вашем компьютере, версии (коммиты) в удалённом репозиторий. При этом git должен знать, откуда вы скачиваете изменения. Если Вы не выполнили операцию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pull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, системы выдаст соответствующую ошибку.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rFonts w:ascii="Courier New" w:hAnsi="Courier New" w:eastAsia="Courier New" w:cs="Courier New"/>
          <w:color w:val="000000"/>
          <w:sz w:val="22"/>
          <w:szCs w:val="22"/>
          <w:highlight w:val="none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push </w:t>
      </w:r>
      <w:r>
        <w:rPr>
          <w:rFonts w:ascii="Courier New" w:hAnsi="Courier New" w:eastAsia="Courier New" w:cs="Courier New"/>
          <w:color w:val="000000"/>
          <w:sz w:val="22"/>
          <w:szCs w:val="22"/>
          <w:highlight w:val="none"/>
        </w:rPr>
      </w:r>
    </w:p>
    <w:p>
      <w:pPr>
        <w:pStyle w:val="629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2"/>
        </w:rPr>
        <w:t xml:space="preserve">Ветки GIT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9"/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Под капотом git выстраивает связи между коммитами: когда вы делаете новый коммит, он по факту становится после старого. Это образует граф. Например, если были коммиты A и B в порядке: A -&gt; 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B, то после очередного коммита состояние станет таким: A -&gt; B -&gt; C. При этом можно в любой момент вернуться на коммит B, "отпочковаться" (т.е. решить от нее пойти в другом направлении, а не в C) и делать новые изменения. Этот процесс называется ветвлением.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Git позволяет создавать ветки и проводить разработку проекта в них. При этом получится писать код независимо от других пользователей. Обычно при этом код из ветки перетекает в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master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(сейчас много где переименован в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main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), но считается хорошим тоном это делать только после тщательной проверки и доработки всех изменений внутри отдельно созданной ветки.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Чтобы создать ветку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&lt;branch_name&gt;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необходимо выполнить команду.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branch &lt;branch_name&gt; 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В случае, если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&lt;branch_name&gt;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не задан, будет выведен список существующих веток.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Создав новую ветку, вы остаётесь в старой.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Переключение на ветку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&lt;branch_name&gt;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осуществляется по команде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checkout &lt;branch_name&gt; 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Создать и сразу переключиться на новую ветку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&lt;branch_name&gt;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можно по команде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checkout -b &lt;branch_name&gt; 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Для того, чтобы объединить ветки (например, присоединить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&lt;branch_name&gt;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в главную ветку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master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). Необходимо переключиться на основную ветку (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master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), и присоединить к ней (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merge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) другую ветку (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&lt;branch_name&gt;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). В примере ниже, создаётся отдельная ветка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hotfix_123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. После решения проблемы фиксируются все изменения в данной ветке, после чего происходит присоединение ветки с hotfix-ом в основную ветку (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master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)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checkout -b hotfix_123 ...  git add *  git commimt -m "HOTFIX for #ISSUE-123"  git checkout master  git merge hotfix 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.gitignore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Для того, чтобы быстро зафиксировать все сделанные изменения, удобно использовать команду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add *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, но такая команда может поместить в репозиторий те файлы, изменение которых Вы не хотите отслеживать (например, служебные файлы питона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.pyc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). Информацию о таковых удобно поместить в файл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.gitignore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(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имя файла начинается с точки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), тогда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add *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не будет «подхватывать» новые файлы из заданных папок (с заданным именем, расширением, пр.).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629"/>
        <w:ind w:left="0" w:righ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2"/>
        </w:rPr>
        <w:t xml:space="preserve">GITHUB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Крупнейшим веб-сервисом для хостинга IT-проектов и их совместной разработки на основании технологии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, является сайт </w:t>
      </w:r>
      <w:hyperlink r:id="rId11" w:tooltip="https://github.com/" w:history="1">
        <w:r>
          <w:rPr>
            <w:rFonts w:ascii="Times New Roman" w:hAnsi="Times New Roman" w:eastAsia="Times New Roman" w:cs="Times New Roman"/>
            <w:color w:val="0000ee"/>
            <w:sz w:val="28"/>
            <w:szCs w:val="24"/>
            <w:u w:val="single"/>
          </w:rPr>
          <w:t xml:space="preserve">Github</w:t>
        </w:r>
      </w:hyperlink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. Он целиком построен на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и поддерживает все перечисленные команды, дополняя их различными возможностями. К дополнительны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м возможностям относятся: Issues — назначение заданий пользователям с описанием задачи, которую необходимо решить; Pull Request — не являясь владельцем репозитория и не имея возможности напрямую отправлять изменения в репозиторий (или же просто в основную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master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ветку), у пользователя github есть возможность запросить осуществление команды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merge &lt;ваша_репозиторий/ваша_ветка&gt; &lt;целевая_ветка_репозитория&gt;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у привилегированного пользователя, имеющего полный доступ к репозиторию. В случае положительного ответа, предложенные Вами изменения «вольются» в основной проект.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А теперь подробнее.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Issues - это способ общения между пользователями кода и разра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ботчиками. Очень похож на форум: люди создают топики (они и называются issue), оставляют комментариями, могут закрывать и открывать обратно issue. Основная цель - репортить ошибки в коде (собственно, из-за этого issues и получили свое называние), обсуждать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пути решения, назначать исполнителей (assignee), помечать тегами. Помимо этого в Issues еще можно предлать новую функциональность, обсуждать направления разработки и просто приводить примеры оформления других issue. Issue может открыть любой пользователь.</w:t>
      </w:r>
      <w:r>
        <w:rPr>
          <w:sz w:val="28"/>
          <w:szCs w:val="24"/>
        </w:rPr>
      </w:r>
    </w:p>
    <w:p>
      <w:pPr>
        <w:pStyle w:val="629"/>
        <w:ind w:left="0" w:right="0" w:firstLine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Pull request - предложение влить свой код в какую-то ветку. Это похоже на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git merge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, который был описан выше, но есть дополнения:</w:t>
      </w:r>
      <w:r>
        <w:rPr>
          <w:sz w:val="28"/>
          <w:szCs w:val="24"/>
        </w:rPr>
      </w:r>
    </w:p>
    <w:p>
      <w:pPr>
        <w:pStyle w:val="690"/>
        <w:numPr>
          <w:ilvl w:val="0"/>
          <w:numId w:val="2"/>
        </w:numPr>
        <w:contextualSpacing/>
        <w:ind w:left="709" w:right="0" w:hanging="360"/>
        <w:spacing w:before="0" w:after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Pull request (PR) можно открыть как в пределах репозитория (одну ветку влить в другую), так и из форка в основной (например, влить ветку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dev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из своего форка в ветку </w:t>
      </w:r>
      <w:r>
        <w:rPr>
          <w:rFonts w:ascii="Courier New" w:hAnsi="Courier New" w:eastAsia="Courier New" w:cs="Courier New"/>
          <w:color w:val="000000"/>
          <w:sz w:val="22"/>
          <w:szCs w:val="24"/>
        </w:rPr>
        <w:t xml:space="preserve">dev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оригинального репо).</w:t>
      </w:r>
      <w:r>
        <w:rPr>
          <w:sz w:val="28"/>
          <w:szCs w:val="24"/>
        </w:rPr>
      </w:r>
    </w:p>
    <w:p>
      <w:pPr>
        <w:pStyle w:val="690"/>
        <w:numPr>
          <w:ilvl w:val="0"/>
          <w:numId w:val="2"/>
        </w:numPr>
        <w:contextualSpacing w:val="0"/>
        <w:ind w:left="709" w:right="0" w:hanging="360"/>
        <w:spacing w:before="0" w:after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Pull request не сразу же вливает код. Это делает вручную человек с нужными полномочиями. На PR можно также навесить защиты: запретить принимать PR, пока не пройдут тесты или его не одобрят как минимум N человек (настраиваемо).</w:t>
      </w:r>
      <w:r>
        <w:rPr>
          <w:sz w:val="28"/>
          <w:szCs w:val="24"/>
        </w:rPr>
      </w:r>
    </w:p>
    <w:p>
      <w:pPr>
        <w:pStyle w:val="690"/>
        <w:numPr>
          <w:ilvl w:val="0"/>
          <w:numId w:val="2"/>
        </w:numPr>
        <w:contextualSpacing w:val="0"/>
        <w:ind w:left="709" w:right="0" w:hanging="360"/>
        <w:spacing w:before="0" w:after="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Pull requsts можно и нужно обсуждать. Люди могут смотреть все предлагаемые изменения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построчно</w:t>
      </w: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 и построчно же комментировать их. Это очень удобно на code review. Комментарии можно также оставлять ко всему PR в целом.</w:t>
      </w:r>
      <w:r>
        <w:rPr>
          <w:sz w:val="28"/>
          <w:szCs w:val="24"/>
        </w:rPr>
      </w:r>
    </w:p>
    <w:p>
      <w:pPr>
        <w:pStyle w:val="690"/>
        <w:numPr>
          <w:ilvl w:val="0"/>
          <w:numId w:val="2"/>
        </w:numPr>
        <w:contextualSpacing w:val="0"/>
        <w:ind w:left="709" w:right="0" w:hanging="360"/>
        <w:spacing w:before="0" w:after="200"/>
        <w:rPr>
          <w:sz w:val="28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</w:rPr>
        <w:t xml:space="preserve">Pull requests можно связывать с Issue, при этом issue автоматически закрывается (помечается как "Closed") после принятия PR.</w:t>
      </w:r>
      <w:r>
        <w:rPr>
          <w:sz w:val="28"/>
          <w:szCs w:val="24"/>
        </w:rPr>
      </w:r>
    </w:p>
    <w:p>
      <w:pPr>
        <w:pStyle w:val="629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90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Индивидуальные задания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2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ЧАСТЬ 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29"/>
        <w:numPr>
          <w:ilvl w:val="0"/>
          <w:numId w:val="3"/>
        </w:numPr>
        <w:jc w:val="both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Зарегистрироваться в github, если Вы ещё не зарегистрированы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9"/>
        <w:numPr>
          <w:ilvl w:val="0"/>
          <w:numId w:val="3"/>
        </w:numPr>
        <w:jc w:val="both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Разбиться на группы по два человека для выполнения семестрового проекта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9"/>
        <w:numPr>
          <w:ilvl w:val="0"/>
          <w:numId w:val="3"/>
        </w:numPr>
        <w:jc w:val="both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Один человек из каждой группы создаёт приватный репозиторий для проекта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java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(mdk-02-02)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9"/>
        <w:numPr>
          <w:ilvl w:val="0"/>
          <w:numId w:val="3"/>
        </w:numPr>
        <w:jc w:val="both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Владелец репозитория даёт доступ к нему второму студенту и преподавателю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9"/>
        <w:numPr>
          <w:ilvl w:val="0"/>
          <w:numId w:val="3"/>
        </w:numPr>
        <w:jc w:val="both"/>
        <w:spacing w:before="0" w:after="20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Каждый студент создаёт свою ветку, в которой ведёт дальнейшую разработку своей части проекта до конца семестра, отправляя в master рабочие версии файлов.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2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ЧАСТЬ Б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629"/>
        <w:numPr>
          <w:ilvl w:val="0"/>
          <w:numId w:val="4"/>
        </w:num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Создать три файла: 1.txt, 2.txt, 3.txt. </w:t>
      </w:r>
      <w:r/>
    </w:p>
    <w:p>
      <w:pPr>
        <w:pStyle w:val="629"/>
        <w:numPr>
          <w:ilvl w:val="0"/>
          <w:numId w:val="4"/>
        </w:num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Проиндексировать первый файл и сделать коммит с комментарием “add</w:t>
      </w:r>
      <w:r/>
    </w:p>
    <w:p>
      <w:pPr>
        <w:pStyle w:val="629"/>
        <w:numPr>
          <w:ilvl w:val="0"/>
          <w:numId w:val="4"/>
        </w:num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1.txt file”. </w:t>
      </w:r>
      <w:r/>
    </w:p>
    <w:p>
      <w:pPr>
        <w:pStyle w:val="629"/>
        <w:numPr>
          <w:ilvl w:val="0"/>
          <w:numId w:val="4"/>
        </w:num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Проиндексировать второй и третий файлы. </w:t>
      </w:r>
      <w:r/>
    </w:p>
    <w:p>
      <w:pPr>
        <w:pStyle w:val="629"/>
        <w:numPr>
          <w:ilvl w:val="0"/>
          <w:numId w:val="4"/>
        </w:num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Удалить из индекса второй файл. </w:t>
      </w:r>
      <w:r/>
    </w:p>
    <w:p>
      <w:pPr>
        <w:pStyle w:val="629"/>
        <w:numPr>
          <w:ilvl w:val="0"/>
          <w:numId w:val="4"/>
        </w:num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Перезаписать уже сделанный коммит с новым комментарием “add 1.txt</w:t>
      </w:r>
      <w:r/>
    </w:p>
    <w:p>
      <w:pPr>
        <w:pStyle w:val="629"/>
        <w:numPr>
          <w:ilvl w:val="0"/>
          <w:numId w:val="4"/>
        </w:num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and 3.txt” </w:t>
      </w:r>
      <w:r/>
    </w:p>
    <w:p>
      <w:pPr>
        <w:pStyle w:val="629"/>
        <w:numPr>
          <w:ilvl w:val="0"/>
          <w:numId w:val="4"/>
        </w:num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Создать аннотированную метку с названием v0.01.</w:t>
      </w:r>
      <w:r/>
    </w:p>
    <w:p>
      <w:pPr>
        <w:pStyle w:val="629"/>
        <w:numPr>
          <w:ilvl w:val="0"/>
          <w:numId w:val="4"/>
        </w:numPr>
        <w:jc w:val="both"/>
        <w:spacing w:before="0" w:after="20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Создать легковесную ветку указывающую на первый коммит в репозитории.</w:t>
      </w:r>
      <w:r/>
    </w:p>
    <w:p>
      <w:pPr>
        <w:pStyle w:val="62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ЧАСТЬ 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629"/>
        <w:numPr>
          <w:ilvl w:val="0"/>
          <w:numId w:val="5"/>
        </w:num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Создать папку temp в своем репозитории.</w:t>
      </w:r>
      <w:r/>
    </w:p>
    <w:p>
      <w:pPr>
        <w:pStyle w:val="629"/>
        <w:numPr>
          <w:ilvl w:val="0"/>
          <w:numId w:val="5"/>
        </w:num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Создать папку log и добавить в нее 2 файла: main.html и some.tmp.</w:t>
      </w:r>
      <w:r/>
    </w:p>
    <w:p>
      <w:pPr>
        <w:pStyle w:val="629"/>
        <w:numPr>
          <w:ilvl w:val="0"/>
          <w:numId w:val="5"/>
        </w:num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Создать файл .gitignore и добавить в игнорирование папку temp и файлы</w:t>
      </w:r>
      <w:r/>
    </w:p>
    <w:p>
      <w:pPr>
        <w:pStyle w:val="629"/>
        <w:numPr>
          <w:ilvl w:val="0"/>
          <w:numId w:val="5"/>
        </w:num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 расширением .tmp из папки log.</w:t>
      </w:r>
      <w:r/>
    </w:p>
    <w:p>
      <w:pPr>
        <w:pStyle w:val="629"/>
        <w:numPr>
          <w:ilvl w:val="0"/>
          <w:numId w:val="5"/>
        </w:num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Закоммитить добавление файла .gitignore.</w:t>
      </w:r>
      <w:r/>
    </w:p>
    <w:p>
      <w:pPr>
        <w:pStyle w:val="629"/>
        <w:numPr>
          <w:ilvl w:val="0"/>
          <w:numId w:val="5"/>
        </w:num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Внести изменения в файл my_first_file.txt, добавив строчку “row to</w:t>
      </w:r>
      <w:r/>
    </w:p>
    <w:p>
      <w:pPr>
        <w:pStyle w:val="629"/>
        <w:numPr>
          <w:ilvl w:val="0"/>
          <w:numId w:val="5"/>
        </w:num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index”, проиндексировать данные изменения. Еще раз внести изменения в файл, добавив строчку “row no index”.</w:t>
      </w:r>
      <w:r/>
    </w:p>
    <w:p>
      <w:pPr>
        <w:pStyle w:val="629"/>
        <w:numPr>
          <w:ilvl w:val="0"/>
          <w:numId w:val="5"/>
        </w:num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Посмотреть индексированные и неиндексированные изменения используя команду git diff.</w:t>
      </w:r>
      <w:r/>
    </w:p>
    <w:p>
      <w:pPr>
        <w:pStyle w:val="629"/>
        <w:numPr>
          <w:ilvl w:val="0"/>
          <w:numId w:val="5"/>
        </w:numPr>
        <w:jc w:val="both"/>
        <w:spacing w:before="0" w:after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Удалить файл my_first_file.txt, зафиксировать данное удаление.</w:t>
      </w:r>
      <w:r/>
    </w:p>
    <w:p>
      <w:pPr>
        <w:pStyle w:val="629"/>
        <w:numPr>
          <w:ilvl w:val="0"/>
          <w:numId w:val="5"/>
        </w:numPr>
        <w:jc w:val="both"/>
        <w:spacing w:before="0" w:after="20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Переименовать файл my_second_file.txt в my_first_file.txt, зафиксировать изменение</w:t>
      </w:r>
      <w:r/>
    </w:p>
    <w:p>
      <w:pPr>
        <w:pStyle w:val="629"/>
        <w:ind w:left="0" w:firstLine="0"/>
        <w:jc w:val="both"/>
        <w:spacing w:before="0" w:after="20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Tahoma">
    <w:panose1 w:val="020B0604030504040204"/>
  </w:font>
  <w:font w:name="Droid Sans Devanagari">
    <w:panose1 w:val="020B0606030804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  <w:tabs>
          <w:tab w:val="num" w:pos="0" w:leader="none"/>
        </w:tabs>
      </w:pPr>
      <w:rPr>
        <w:rFonts w:ascii="Courier New" w:hAnsi="Courier New" w:eastAsia="Courier New" w:cs="Courier New"/>
        <w:color w:val="000000"/>
        <w:sz w:val="2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74">
    <w:name w:val="Hyperlink"/>
    <w:uiPriority w:val="99"/>
    <w:unhideWhenUsed/>
    <w:rPr>
      <w:color w:val="0000ff" w:themeColor="hyperlink"/>
      <w:u w:val="single"/>
    </w:rPr>
  </w:style>
  <w:style w:type="character" w:styleId="177">
    <w:name w:val="footnote reference"/>
    <w:basedOn w:val="662"/>
    <w:uiPriority w:val="99"/>
    <w:unhideWhenUsed/>
    <w:rPr>
      <w:vertAlign w:val="superscript"/>
    </w:rPr>
  </w:style>
  <w:style w:type="character" w:styleId="180">
    <w:name w:val="endnote reference"/>
    <w:basedOn w:val="662"/>
    <w:uiPriority w:val="99"/>
    <w:semiHidden/>
    <w:unhideWhenUsed/>
    <w:rPr>
      <w:vertAlign w:val="superscript"/>
    </w:rPr>
  </w:style>
  <w:style w:type="paragraph" w:styleId="185">
    <w:name w:val="toc 5"/>
    <w:basedOn w:val="629"/>
    <w:next w:val="62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9"/>
    <w:next w:val="62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9"/>
    <w:next w:val="62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9"/>
    <w:next w:val="62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9"/>
    <w:next w:val="629"/>
    <w:uiPriority w:val="39"/>
    <w:unhideWhenUsed/>
    <w:pPr>
      <w:ind w:left="2268" w:right="0" w:firstLine="0"/>
      <w:spacing w:after="57"/>
    </w:pPr>
  </w:style>
  <w:style w:type="paragraph" w:styleId="629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630">
    <w:name w:val="Heading 1"/>
    <w:basedOn w:val="62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31">
    <w:name w:val="Heading 2"/>
    <w:basedOn w:val="62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32">
    <w:name w:val="Heading 3"/>
    <w:basedOn w:val="62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33">
    <w:name w:val="Heading 4"/>
    <w:basedOn w:val="62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34">
    <w:name w:val="Heading 5"/>
    <w:basedOn w:val="62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35">
    <w:name w:val="Heading 6"/>
    <w:basedOn w:val="62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36">
    <w:name w:val="Heading 7"/>
    <w:basedOn w:val="62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37">
    <w:name w:val="Heading 8"/>
    <w:basedOn w:val="62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38">
    <w:name w:val="Heading 9"/>
    <w:basedOn w:val="6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39">
    <w:name w:val="Интернет-ссылка"/>
    <w:uiPriority w:val="99"/>
    <w:unhideWhenUsed/>
    <w:rPr>
      <w:color w:val="0000ff" w:themeColor="hyperlink"/>
      <w:u w:val="single"/>
    </w:rPr>
  </w:style>
  <w:style w:type="character" w:styleId="640">
    <w:name w:val="Символ сноски"/>
    <w:basedOn w:val="662"/>
    <w:uiPriority w:val="99"/>
    <w:unhideWhenUsed/>
    <w:qFormat/>
    <w:rPr>
      <w:vertAlign w:val="superscript"/>
    </w:rPr>
  </w:style>
  <w:style w:type="character" w:styleId="641">
    <w:name w:val="Привязка сноски"/>
    <w:rPr>
      <w:vertAlign w:val="superscript"/>
    </w:rPr>
  </w:style>
  <w:style w:type="character" w:styleId="642">
    <w:name w:val="Символ концевой сноски"/>
    <w:basedOn w:val="662"/>
    <w:uiPriority w:val="99"/>
    <w:semiHidden/>
    <w:unhideWhenUsed/>
    <w:qFormat/>
    <w:rPr>
      <w:vertAlign w:val="superscript"/>
    </w:rPr>
  </w:style>
  <w:style w:type="character" w:styleId="643">
    <w:name w:val="Привязка концевой сноски"/>
    <w:rPr>
      <w:vertAlign w:val="superscript"/>
    </w:rPr>
  </w:style>
  <w:style w:type="character" w:styleId="644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645">
    <w:name w:val="Heading 2 Char"/>
    <w:uiPriority w:val="9"/>
    <w:qFormat/>
    <w:rPr>
      <w:rFonts w:ascii="Arial" w:hAnsi="Arial" w:eastAsia="Arial" w:cs="Arial"/>
      <w:sz w:val="34"/>
    </w:rPr>
  </w:style>
  <w:style w:type="character" w:styleId="646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647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648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49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650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652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653">
    <w:name w:val="Title Char"/>
    <w:uiPriority w:val="10"/>
    <w:qFormat/>
    <w:rPr>
      <w:sz w:val="48"/>
      <w:szCs w:val="48"/>
    </w:rPr>
  </w:style>
  <w:style w:type="character" w:styleId="654">
    <w:name w:val="Subtitle Char"/>
    <w:uiPriority w:val="11"/>
    <w:qFormat/>
    <w:rPr>
      <w:sz w:val="24"/>
      <w:szCs w:val="24"/>
    </w:rPr>
  </w:style>
  <w:style w:type="character" w:styleId="655">
    <w:name w:val="Quote Char"/>
    <w:uiPriority w:val="29"/>
    <w:qFormat/>
    <w:rPr>
      <w:i/>
    </w:rPr>
  </w:style>
  <w:style w:type="character" w:styleId="656">
    <w:name w:val="Intense Quote Char"/>
    <w:uiPriority w:val="30"/>
    <w:qFormat/>
    <w:rPr>
      <w:i/>
    </w:rPr>
  </w:style>
  <w:style w:type="character" w:styleId="657">
    <w:name w:val="Header Char"/>
    <w:uiPriority w:val="99"/>
    <w:qFormat/>
  </w:style>
  <w:style w:type="character" w:styleId="658">
    <w:name w:val="Footer Char"/>
    <w:uiPriority w:val="99"/>
    <w:qFormat/>
  </w:style>
  <w:style w:type="character" w:styleId="659">
    <w:name w:val="Caption Char"/>
    <w:uiPriority w:val="99"/>
    <w:qFormat/>
  </w:style>
  <w:style w:type="character" w:styleId="660">
    <w:name w:val="Footnote Text Char"/>
    <w:uiPriority w:val="99"/>
    <w:qFormat/>
    <w:rPr>
      <w:sz w:val="18"/>
    </w:rPr>
  </w:style>
  <w:style w:type="character" w:styleId="661">
    <w:name w:val="Endnote Text Char"/>
    <w:uiPriority w:val="99"/>
    <w:qFormat/>
    <w:rPr>
      <w:sz w:val="20"/>
    </w:rPr>
  </w:style>
  <w:style w:type="character" w:styleId="662" w:default="1">
    <w:name w:val="Default Paragraph Font"/>
    <w:uiPriority w:val="1"/>
    <w:semiHidden/>
    <w:unhideWhenUsed/>
    <w:qFormat/>
  </w:style>
  <w:style w:type="paragraph" w:styleId="663">
    <w:name w:val="Заголовок"/>
    <w:basedOn w:val="629"/>
    <w:next w:val="664"/>
    <w:qFormat/>
    <w:pPr>
      <w:keepNext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664">
    <w:name w:val="Body Text"/>
    <w:basedOn w:val="629"/>
    <w:pPr>
      <w:spacing w:before="0" w:after="140" w:line="276" w:lineRule="auto"/>
    </w:pPr>
  </w:style>
  <w:style w:type="paragraph" w:styleId="665">
    <w:name w:val="List"/>
    <w:basedOn w:val="664"/>
    <w:rPr>
      <w:rFonts w:cs="Droid Sans Devanagari"/>
    </w:rPr>
  </w:style>
  <w:style w:type="paragraph" w:styleId="666">
    <w:name w:val="Caption"/>
    <w:basedOn w:val="6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667">
    <w:name w:val="Указатель"/>
    <w:basedOn w:val="629"/>
    <w:qFormat/>
    <w:pPr>
      <w:suppressLineNumbers/>
    </w:pPr>
    <w:rPr>
      <w:rFonts w:cs="Droid Sans Devanagari"/>
    </w:rPr>
  </w:style>
  <w:style w:type="paragraph" w:styleId="668">
    <w:name w:val="Title"/>
    <w:basedOn w:val="629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669">
    <w:name w:val="Subtitle"/>
    <w:basedOn w:val="629"/>
    <w:uiPriority w:val="11"/>
    <w:qFormat/>
    <w:pPr>
      <w:spacing w:before="200" w:after="200"/>
    </w:pPr>
    <w:rPr>
      <w:sz w:val="24"/>
      <w:szCs w:val="24"/>
    </w:rPr>
  </w:style>
  <w:style w:type="paragraph" w:styleId="670">
    <w:name w:val="Quote"/>
    <w:basedOn w:val="629"/>
    <w:uiPriority w:val="29"/>
    <w:qFormat/>
    <w:pPr>
      <w:ind w:left="720" w:right="720" w:firstLine="0"/>
    </w:pPr>
    <w:rPr>
      <w:i/>
    </w:rPr>
  </w:style>
  <w:style w:type="paragraph" w:styleId="671">
    <w:name w:val="Intense Quote"/>
    <w:basedOn w:val="629"/>
    <w:uiPriority w:val="30"/>
    <w:qFormat/>
    <w:pPr>
      <w:ind w:left="720" w:right="720" w:firstLine="0"/>
      <w:spacing w:before="0" w:after="20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672">
    <w:name w:val="Колонтитул"/>
    <w:basedOn w:val="629"/>
    <w:qFormat/>
  </w:style>
  <w:style w:type="paragraph" w:styleId="673">
    <w:name w:val="Header"/>
    <w:basedOn w:val="629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74">
    <w:name w:val="Footer"/>
    <w:basedOn w:val="629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675">
    <w:name w:val="footnote text"/>
    <w:basedOn w:val="629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676">
    <w:name w:val="endnote text"/>
    <w:basedOn w:val="629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677">
    <w:name w:val="toc 1"/>
    <w:basedOn w:val="629"/>
    <w:uiPriority w:val="39"/>
    <w:unhideWhenUsed/>
    <w:pPr>
      <w:ind w:left="0" w:right="0" w:firstLine="0"/>
      <w:spacing w:before="0" w:after="57"/>
    </w:pPr>
  </w:style>
  <w:style w:type="paragraph" w:styleId="678">
    <w:name w:val="toc 2"/>
    <w:basedOn w:val="629"/>
    <w:uiPriority w:val="39"/>
    <w:unhideWhenUsed/>
    <w:pPr>
      <w:ind w:left="283" w:right="0" w:firstLine="0"/>
      <w:spacing w:before="0" w:after="57"/>
    </w:pPr>
  </w:style>
  <w:style w:type="paragraph" w:styleId="679">
    <w:name w:val="toc 3"/>
    <w:basedOn w:val="629"/>
    <w:uiPriority w:val="39"/>
    <w:unhideWhenUsed/>
    <w:pPr>
      <w:ind w:left="567" w:right="0" w:firstLine="0"/>
      <w:spacing w:before="0" w:after="57"/>
    </w:pPr>
  </w:style>
  <w:style w:type="paragraph" w:styleId="680">
    <w:name w:val="toc 4"/>
    <w:basedOn w:val="629"/>
    <w:uiPriority w:val="39"/>
    <w:unhideWhenUsed/>
    <w:pPr>
      <w:ind w:left="850" w:right="0" w:firstLine="0"/>
      <w:spacing w:before="0" w:after="57"/>
    </w:pPr>
  </w:style>
  <w:style w:type="paragraph" w:styleId="686">
    <w:name w:val="Index Heading"/>
    <w:basedOn w:val="663"/>
  </w:style>
  <w:style w:type="paragraph" w:styleId="687">
    <w:name w:val="TOC Heading"/>
    <w:uiPriority w:val="39"/>
    <w:unhideWhenUsed/>
    <w:pPr>
      <w:jc w:val="left"/>
      <w:spacing w:before="0" w:beforeAutospacing="0" w:after="200" w:afterAutospacing="0" w:line="276" w:lineRule="auto"/>
      <w:widowControl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paragraph" w:styleId="688">
    <w:name w:val="table of figures"/>
    <w:basedOn w:val="629"/>
    <w:uiPriority w:val="99"/>
    <w:unhideWhenUsed/>
    <w:qFormat/>
    <w:pPr>
      <w:spacing w:before="0" w:after="0" w:afterAutospacing="0"/>
    </w:pPr>
  </w:style>
  <w:style w:type="paragraph" w:styleId="689">
    <w:name w:val="No Spacing"/>
    <w:basedOn w:val="629"/>
    <w:uiPriority w:val="1"/>
    <w:qFormat/>
    <w:pPr>
      <w:spacing w:before="0" w:after="0" w:line="240" w:lineRule="auto"/>
    </w:pPr>
  </w:style>
  <w:style w:type="paragraph" w:styleId="690">
    <w:name w:val="List Paragraph"/>
    <w:basedOn w:val="629"/>
    <w:uiPriority w:val="34"/>
    <w:qFormat/>
    <w:pPr>
      <w:contextualSpacing/>
      <w:ind w:left="720" w:firstLine="0"/>
      <w:spacing w:before="0" w:after="200"/>
    </w:pPr>
  </w:style>
  <w:style w:type="numbering" w:styleId="691" w:default="1">
    <w:name w:val="No List"/>
    <w:uiPriority w:val="99"/>
    <w:semiHidden/>
    <w:unhideWhenUsed/>
    <w:qFormat/>
  </w:style>
  <w:style w:type="table" w:styleId="692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0"/>
      </w:tcPr>
    </w:tblStylePr>
    <w:tblStylePr w:type="band1Vert">
      <w:tcPr>
        <w:shd w:val="clear" w:color="ffffff" w:fill="f2f2f2" w:themeFill="text1" w:themeFillTint="0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695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696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1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cPr>
        <w:shd w:val="clear" w:color="ffffff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cPr>
        <w:shd w:val="clear" w:color="ffffff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cPr>
        <w:shd w:val="clear" w:color="ffffff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dfebf6" w:themeFill="accent1" w:themeFillTint="32"/>
      </w:tcPr>
    </w:tblStylePr>
    <w:tblStylePr w:type="band1Vert">
      <w:rPr>
        <w:color w:val="404040"/>
        <w:sz w:val="22"/>
      </w:rPr>
      <w:tcPr>
        <w:shd w:val="clear" w:color="ffffff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67a4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</w:tcBorders>
      </w:tcPr>
    </w:tblStylePr>
  </w:style>
  <w:style w:type="table" w:styleId="722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4b1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</w:tcBorders>
      </w:tcPr>
    </w:tblStylePr>
  </w:style>
  <w:style w:type="table" w:styleId="723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</w:tcBorders>
      </w:tcPr>
    </w:tblStylePr>
  </w:style>
  <w:style w:type="table" w:styleId="724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d864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</w:tcBorders>
      </w:tcPr>
    </w:tblStylePr>
  </w:style>
  <w:style w:type="table" w:styleId="725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8a8a8a" w:themeFill="text1" w:themeFillTint="75"/>
      </w:tcPr>
    </w:tblStylePr>
    <w:tblStylePr w:type="band1Vert"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b4d2eb" w:themeFill="accent1" w:themeFillTint="75"/>
      </w:tcPr>
    </w:tblStylePr>
    <w:tblStylePr w:type="band1Vert">
      <w:tcPr>
        <w:shd w:val="clear" w:color="ffffff" w:fill="b4d2eb" w:themeFill="accent1" w:themeFillTint="75"/>
      </w:tcPr>
    </w:tblStylePr>
    <w:tblStylePr w:type="firstCol">
      <w:rPr>
        <w:b/>
        <w:color w:val="ffffff"/>
        <w:sz w:val="22"/>
      </w:rPr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f6c3a1" w:themeFill="accent2" w:themeFillTint="75"/>
      </w:tcPr>
    </w:tblStylePr>
    <w:tblStylePr w:type="band1Vert">
      <w:tcPr>
        <w:shd w:val="clear" w:color="ffffff" w:fill="f6c3a1" w:themeFill="accent2" w:themeFillTint="75"/>
      </w:tcPr>
    </w:tblStylePr>
    <w:tblStylePr w:type="firstCol">
      <w:rPr>
        <w:b/>
        <w:color w:val="ffffff"/>
        <w:sz w:val="22"/>
      </w:rPr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d6d6d6" w:themeFill="accent3" w:themeFillTint="75"/>
      </w:tcPr>
    </w:tblStylePr>
    <w:tblStylePr w:type="band1Vert">
      <w:tcPr>
        <w:shd w:val="clear" w:color="ffffff" w:fill="d6d6d6" w:themeFill="accent3" w:themeFillTint="75"/>
      </w:tcPr>
    </w:tblStylePr>
    <w:tblStylePr w:type="firstCol">
      <w:rPr>
        <w:b/>
        <w:color w:val="ffffff"/>
        <w:sz w:val="22"/>
      </w:rPr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fee189" w:themeFill="accent4" w:themeFillTint="75"/>
      </w:tcPr>
    </w:tblStylePr>
    <w:tblStylePr w:type="band1Vert">
      <w:tcPr>
        <w:shd w:val="clear" w:color="ffffff" w:fill="fee189" w:themeFill="accent4" w:themeFillTint="75"/>
      </w:tcPr>
    </w:tblStylePr>
    <w:tblStylePr w:type="firstCol">
      <w:rPr>
        <w:b/>
        <w:color w:val="ffffff"/>
        <w:sz w:val="22"/>
      </w:rPr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aabfe3" w:themeFill="accent5" w:themeFillTint="75"/>
      </w:tcPr>
    </w:tblStylePr>
    <w:tblStylePr w:type="band1Vert">
      <w:tcPr>
        <w:shd w:val="clear" w:color="ffffff" w:fill="aabfe3" w:themeFill="accent5" w:themeFillTint="75"/>
      </w:tcPr>
    </w:tblStylePr>
    <w:tblStylePr w:type="firstCol">
      <w:rPr>
        <w:b/>
        <w:color w:val="ffffff"/>
        <w:sz w:val="22"/>
      </w:rPr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cPr>
        <w:shd w:val="clear" w:color="ffffff" w:fill="bedba8" w:themeFill="accent6" w:themeFillTint="75"/>
      </w:tcPr>
    </w:tblStylePr>
    <w:tblStylePr w:type="band1Vert">
      <w:tcPr>
        <w:shd w:val="clear" w:color="ffffff" w:fill="bedba8" w:themeFill="accent6" w:themeFillTint="75"/>
      </w:tcPr>
    </w:tblStylePr>
    <w:tblStylePr w:type="firstCol">
      <w:rPr>
        <w:b/>
        <w:color w:val="ffffff"/>
        <w:sz w:val="22"/>
      </w:rPr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cPr>
        <w:shd w:val="clear" w:color="ffffff" w:fill="cbcbcb" w:themeFill="text1" w:themeFillTint="34"/>
      </w:tcPr>
    </w:tblStylePr>
    <w:tblStylePr w:type="band1Vert"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color w:val="404040" w:themeColor="text1" w:themeTint="80" w:themeShade="95"/>
        <w:sz w:val="22"/>
      </w:rPr>
    </w:tblStylePr>
  </w:style>
  <w:style w:type="table" w:styleId="73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cPr>
        <w:shd w:val="clear" w:color="ffffff" w:fill="ddebf6" w:themeFill="accent1" w:themeFillTint="34"/>
      </w:tcPr>
    </w:tblStylePr>
    <w:tblStylePr w:type="band1Vert">
      <w:tcPr>
        <w:shd w:val="clear" w:color="ffffff" w:fill="ddebf6" w:themeFill="accent1" w:themeFillTint="34"/>
      </w:tcPr>
    </w:tblStylePr>
    <w:tblStylePr w:type="band2Horz">
      <w:rPr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color w:val="404040" w:themeColor="accent1" w:themeTint="80" w:themeShade="95"/>
        <w:sz w:val="22"/>
      </w:rPr>
    </w:tblStylePr>
  </w:style>
  <w:style w:type="table" w:styleId="73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cPr>
        <w:shd w:val="clear" w:color="ffffff" w:fill="fbe5d6" w:themeFill="accent2" w:themeFillTint="32"/>
      </w:tcPr>
    </w:tblStylePr>
    <w:tblStylePr w:type="band1Vert">
      <w:tcPr>
        <w:shd w:val="clear" w:color="ffffff" w:fill="fbe5d6" w:themeFill="accent2" w:themeFillTint="32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color w:val="404040" w:themeColor="accent2" w:themeTint="97" w:themeShade="95"/>
        <w:sz w:val="22"/>
      </w:rPr>
    </w:tblStylePr>
  </w:style>
  <w:style w:type="table" w:styleId="73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cPr>
        <w:shd w:val="clear" w:color="ffffff" w:fill="ededed" w:themeFill="accent3" w:themeFillTint="34"/>
      </w:tcPr>
    </w:tblStylePr>
    <w:tblStylePr w:type="band1Vert"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color w:val="404040" w:themeColor="accent3" w:themeTint="FE" w:themeShade="95"/>
        <w:sz w:val="22"/>
      </w:rPr>
    </w:tblStylePr>
  </w:style>
  <w:style w:type="table" w:styleId="73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cPr>
        <w:shd w:val="clear" w:color="ffffff" w:fill="fef2cb" w:themeFill="accent4" w:themeFillTint="34"/>
      </w:tcPr>
    </w:tblStylePr>
    <w:tblStylePr w:type="band1Vert">
      <w:tcPr>
        <w:shd w:val="clear" w:color="ffffff" w:fill="fef2cb" w:themeFill="accent4" w:themeFillTint="34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color w:val="404040" w:themeColor="accent4" w:themeTint="9A" w:themeShade="95"/>
        <w:sz w:val="22"/>
      </w:rPr>
    </w:tblStylePr>
  </w:style>
  <w:style w:type="table" w:styleId="73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cPr>
        <w:shd w:val="clear" w:color="ffffff" w:fill="d9e2f2" w:themeFill="accent5" w:themeFillTint="34"/>
      </w:tcPr>
    </w:tblStylePr>
    <w:tblStylePr w:type="band1Vert">
      <w:tcPr>
        <w:shd w:val="clear" w:color="ffffff" w:fill="d9e2f2" w:themeFill="accent5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74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cPr>
        <w:shd w:val="clear" w:color="ffffff" w:fill="e2efd8" w:themeFill="accent6" w:themeFillTint="34"/>
      </w:tcPr>
    </w:tblStylePr>
    <w:tblStylePr w:type="band1Vert">
      <w:tcPr>
        <w:shd w:val="clear" w:color="ffffff" w:fill="e2efd8" w:themeFill="accent6" w:themeFillTint="34"/>
      </w:tcPr>
    </w:tblStylePr>
    <w:tblStylePr w:type="band2Horz">
      <w:rPr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color w:val="404040" w:themeColor="accent5" w:themeShade="95"/>
        <w:sz w:val="22"/>
      </w:rPr>
    </w:tblStylePr>
  </w:style>
  <w:style w:type="table" w:styleId="741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cPr>
        <w:shd w:val="clear" w:color="ffffff" w:fill="f2f2f2" w:themeFill="text1" w:themeFillTint="00"/>
      </w:tcPr>
    </w:tblStylePr>
    <w:tblStylePr w:type="band1Vert">
      <w:tcPr>
        <w:shd w:val="clear" w:color="ffffff" w:fill="f2f2f2" w:themeFill="text1" w:themeFillTint="0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cPr>
        <w:shd w:val="clear" w:color="ffffff" w:fill="ddebf6" w:themeFill="accent1" w:themeFillTint="34"/>
      </w:tcPr>
    </w:tblStylePr>
    <w:tblStylePr w:type="band1Vert">
      <w:tcPr>
        <w:shd w:val="clear" w:color="ffffff" w:fill="ddebf6" w:themeFill="accent1" w:themeFillTint="34"/>
      </w:tcPr>
    </w:tblStylePr>
    <w:tblStylePr w:type="band2Horz">
      <w:rPr>
        <w:color w:val="317bba" w:themeColor="accent1" w:themeTint="80" w:themeShade="95"/>
        <w:sz w:val="22"/>
      </w:rPr>
    </w:tblStylePr>
    <w:tblStylePr w:type="firstCol">
      <w:rPr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17bba" w:themeColor="accen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17bba" w:themeColor="accent1" w:themeTint="80" w:themeShade="95"/>
        <w:sz w:val="22"/>
      </w:r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cPr>
        <w:shd w:val="clear" w:color="ffffff" w:fill="fbe5d6" w:themeFill="accent2" w:themeFillTint="32"/>
      </w:tcPr>
    </w:tblStylePr>
    <w:tblStylePr w:type="band1Vert">
      <w:tcPr>
        <w:shd w:val="clear" w:color="ffffff" w:fill="fbe5d6" w:themeFill="accent2" w:themeFillTint="32"/>
      </w:tcPr>
    </w:tblStylePr>
    <w:tblStylePr w:type="band2Horz">
      <w:rPr>
        <w:color w:val="c95712" w:themeColor="accent2" w:themeTint="97" w:themeShade="95"/>
        <w:sz w:val="22"/>
      </w:rPr>
    </w:tblStylePr>
    <w:tblStylePr w:type="firstCol">
      <w:rPr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cPr>
        <w:shd w:val="clear" w:color="ffffff" w:fill="ededed" w:themeFill="accent3" w:themeFillTint="34"/>
      </w:tcPr>
    </w:tblStylePr>
    <w:tblStylePr w:type="band1Vert"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</w:tblStylePr>
    <w:tblStylePr w:type="firstCol">
      <w:rPr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cPr>
        <w:shd w:val="clear" w:color="ffffff" w:fill="fef2cb" w:themeFill="accent4" w:themeFillTint="34"/>
      </w:tcPr>
    </w:tblStylePr>
    <w:tblStylePr w:type="band1Vert">
      <w:tcPr>
        <w:shd w:val="clear" w:color="ffffff" w:fill="fef2cb" w:themeFill="accent4" w:themeFillTint="34"/>
      </w:tcPr>
    </w:tblStylePr>
    <w:tblStylePr w:type="band2Horz">
      <w:rPr>
        <w:color w:val="cd9600" w:themeColor="accent4" w:themeTint="9A" w:themeShade="95"/>
        <w:sz w:val="22"/>
      </w:rPr>
    </w:tblStylePr>
    <w:tblStylePr w:type="firstCol">
      <w:rPr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cPr>
        <w:shd w:val="clear" w:color="ffffff" w:fill="d9e2f2" w:themeFill="accent5" w:themeFillTint="34"/>
      </w:tcPr>
    </w:tblStylePr>
    <w:tblStylePr w:type="band1Vert">
      <w:tcPr>
        <w:shd w:val="clear" w:color="ffffff" w:fill="d9e2f2" w:themeFill="accent5" w:themeFillTint="34"/>
      </w:tcPr>
    </w:tblStylePr>
    <w:tblStylePr w:type="band2Horz">
      <w:rPr>
        <w:color w:val="254374" w:themeColor="accent5" w:themeShade="95"/>
        <w:sz w:val="22"/>
      </w:rPr>
    </w:tblStylePr>
    <w:tblStylePr w:type="firstCol">
      <w:rPr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374" w:themeColor="accent5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374" w:themeColor="accent5" w:themeShade="95"/>
        <w:sz w:val="22"/>
      </w:r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cPr>
        <w:shd w:val="clear" w:color="ffffff" w:fill="e2efd8" w:themeFill="accent6" w:themeFillTint="34"/>
      </w:tcPr>
    </w:tblStylePr>
    <w:tblStylePr w:type="band1Vert">
      <w:tcPr>
        <w:shd w:val="clear" w:color="ffffff" w:fill="e2efd8" w:themeFill="accent6" w:themeFillTint="34"/>
      </w:tcPr>
    </w:tblStylePr>
    <w:tblStylePr w:type="band2Horz">
      <w:rPr>
        <w:color w:val="426429" w:themeColor="accent6" w:themeShade="95"/>
        <w:sz w:val="22"/>
      </w:rPr>
    </w:tblStylePr>
    <w:tblStylePr w:type="firstCol">
      <w:rPr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26429" w:themeColor="accent6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26429" w:themeColor="accent6" w:themeShade="95"/>
        <w:sz w:val="22"/>
      </w:r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d5e6f4" w:themeFill="accent1" w:themeFillTint="40"/>
      </w:tcPr>
    </w:tblStylePr>
    <w:tblStylePr w:type="band1Vert">
      <w:tcPr>
        <w:shd w:val="clear" w:color="ffffff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cfdcf0" w:themeFill="accent5" w:themeFillTint="40"/>
      </w:tcPr>
    </w:tblStylePr>
    <w:tblStylePr w:type="band1Vert">
      <w:tcPr>
        <w:shd w:val="clear" w:color="ffffff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756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cPr>
        <w:shd w:val="clear" w:color="ffffff" w:fill="d5e6f4" w:themeFill="accent1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757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fffff" w:fill="fadecb" w:themeFill="accent2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758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ffffff" w:fill="e8e8e8" w:themeFill="accent3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759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ffff" w:fill="ffefbf" w:themeFill="accent4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760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cPr>
        <w:shd w:val="clear" w:color="ffffff" w:fill="cfdcf0" w:themeFill="accent5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761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cPr>
        <w:shd w:val="clear" w:color="ffffff" w:fill="dbebd0" w:themeFill="accent6" w:themeFillTint="4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762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cPr>
        <w:shd w:val="clear" w:color="ffffff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cPr>
        <w:shd w:val="clear" w:color="ffffff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cPr>
        <w:shd w:val="clear" w:color="ffffff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cPr>
        <w:shd w:val="clear" w:color="ffffff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cPr>
        <w:shd w:val="clear" w:color="ffffff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cPr>
        <w:shd w:val="clear" w:color="ffffff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cPr>
        <w:shd w:val="clear" w:color="ffffff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ffff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77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77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cPr>
        <w:shd w:val="clear" w:color="ffffff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f4b1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77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78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cPr>
        <w:shd w:val="clear" w:color="ffffff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ffd864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78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cPr>
        <w:shd w:val="clear" w:color="ffffff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8eab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78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cPr>
        <w:shd w:val="clear" w:color="ffffff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ffff" w:fill="aad0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  <w:tblStylePr w:type="wholeTable">
      <w:rPr>
        <w:color w:val="ffffff" w:themeColor="light1"/>
        <w:sz w:val="22"/>
      </w:rPr>
    </w:tblStylePr>
  </w:style>
  <w:style w:type="table" w:styleId="783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sz="4" w:space="0"/>
        </w:tcBorders>
      </w:tcPr>
    </w:tblStylePr>
  </w:style>
  <w:style w:type="table" w:styleId="78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cPr>
        <w:shd w:val="clear" w:color="ffffff" w:fill="d5e6f4" w:themeFill="accent1" w:themeFillTint="40"/>
      </w:tcPr>
    </w:tblStylePr>
    <w:tblStylePr w:type="band1Vert">
      <w:tcPr>
        <w:shd w:val="clear" w:color="ffffff" w:fill="d5e6f4" w:themeFill="accent1" w:themeFillTint="40"/>
      </w:tcPr>
    </w:tblStylePr>
    <w:tblStylePr w:type="band2Horz">
      <w:rPr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sz="4" w:space="0"/>
        </w:tcBorders>
      </w:tcPr>
    </w:tblStylePr>
  </w:style>
  <w:style w:type="table" w:styleId="78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sz="4" w:space="0"/>
        </w:tcBorders>
      </w:tcPr>
    </w:tblStylePr>
  </w:style>
  <w:style w:type="table" w:styleId="78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sz="4" w:space="0"/>
        </w:tcBorders>
      </w:tcPr>
    </w:tblStylePr>
  </w:style>
  <w:style w:type="table" w:styleId="78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cPr>
        <w:shd w:val="clear" w:color="ffffff" w:fill="cfdcf0" w:themeFill="accent5" w:themeFillTint="40"/>
      </w:tcPr>
    </w:tblStylePr>
    <w:tblStylePr w:type="band1Vert">
      <w:tcPr>
        <w:shd w:val="clear" w:color="ffffff" w:fill="cfdcf0" w:themeFill="accent5" w:themeFillTint="40"/>
      </w:tcPr>
    </w:tblStylePr>
    <w:tblStylePr w:type="band2Horz">
      <w:rPr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sz="4" w:space="0"/>
        </w:tcBorders>
      </w:tcPr>
    </w:tblStylePr>
  </w:style>
  <w:style w:type="table" w:styleId="78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band2Horz">
      <w:rPr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sz="4" w:space="0"/>
        </w:tcBorders>
      </w:tcPr>
    </w:tblStylePr>
  </w:style>
  <w:style w:type="table" w:styleId="790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cPr>
        <w:shd w:val="clear" w:color="ffffff" w:fill="bfbfbf" w:themeFill="text1" w:themeFillTint="40"/>
      </w:tcPr>
    </w:tblStylePr>
    <w:tblStylePr w:type="band1Vert"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</w:tblStylePr>
    <w:tblStylePr w:type="firstCol">
      <w:rPr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4a4a4a" w:themeColor="text1" w:themeTint="80" w:themeShade="95"/>
        <w:sz w:val="22"/>
      </w:rPr>
    </w:tblStylePr>
  </w:style>
  <w:style w:type="table" w:styleId="79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cPr>
        <w:shd w:val="clear" w:color="ffffff" w:fill="d5e6f4" w:themeFill="accent1" w:themeFillTint="40"/>
      </w:tcPr>
    </w:tblStylePr>
    <w:tblStylePr w:type="band1Vert">
      <w:tcPr>
        <w:shd w:val="clear" w:color="ffffff" w:fill="d5e6f4" w:themeFill="accent1" w:themeFillTint="40"/>
      </w:tcPr>
    </w:tblStylePr>
    <w:tblStylePr w:type="band2Horz">
      <w:rPr>
        <w:color w:val="245d8d" w:themeColor="accent1" w:themeShade="95"/>
        <w:sz w:val="22"/>
      </w:rPr>
    </w:tblStylePr>
    <w:tblStylePr w:type="firstCol">
      <w:rPr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d8d" w:themeColor="accent1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d8d" w:themeColor="accent1" w:themeShade="95"/>
        <w:sz w:val="22"/>
      </w:r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245d8d" w:themeColor="accent1" w:themeShade="95"/>
        <w:sz w:val="22"/>
      </w:rPr>
    </w:tblStylePr>
  </w:style>
  <w:style w:type="table" w:styleId="79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cPr>
        <w:shd w:val="clear" w:color="ffffff" w:fill="fadecb" w:themeFill="accent2" w:themeFillTint="40"/>
      </w:tcPr>
    </w:tblStylePr>
    <w:tblStylePr w:type="band1Vert">
      <w:tcPr>
        <w:shd w:val="clear" w:color="ffffff" w:fill="fadecb" w:themeFill="accent2" w:themeFillTint="40"/>
      </w:tcPr>
    </w:tblStylePr>
    <w:tblStylePr w:type="band2Horz">
      <w:rPr>
        <w:color w:val="c95712" w:themeColor="accent2" w:themeTint="97" w:themeShade="95"/>
        <w:sz w:val="22"/>
      </w:rPr>
    </w:tblStylePr>
    <w:tblStylePr w:type="firstCol">
      <w:rPr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5712" w:themeColor="accent2" w:themeTint="97" w:themeShade="95"/>
        <w:sz w:val="22"/>
      </w:r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c95712" w:themeColor="accent2" w:themeTint="97" w:themeShade="95"/>
        <w:sz w:val="22"/>
      </w:rPr>
    </w:tblStylePr>
  </w:style>
  <w:style w:type="table" w:styleId="79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cPr>
        <w:shd w:val="clear" w:color="ffffff" w:fill="e8e8e8" w:themeFill="accent3" w:themeFillTint="40"/>
      </w:tcPr>
    </w:tblStylePr>
    <w:tblStylePr w:type="band1Vert"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</w:tblStylePr>
    <w:tblStylePr w:type="firstCol">
      <w:rPr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757575" w:themeColor="accent3" w:themeTint="98" w:themeShade="95"/>
        <w:sz w:val="22"/>
      </w:rPr>
    </w:tblStylePr>
  </w:style>
  <w:style w:type="table" w:styleId="79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cPr>
        <w:shd w:val="clear" w:color="ffffff" w:fill="ffefbf" w:themeFill="accent4" w:themeFillTint="40"/>
      </w:tcPr>
    </w:tblStylePr>
    <w:tblStylePr w:type="band1Vert">
      <w:tcPr>
        <w:shd w:val="clear" w:color="ffffff" w:fill="ffefbf" w:themeFill="accent4" w:themeFillTint="40"/>
      </w:tcPr>
    </w:tblStylePr>
    <w:tblStylePr w:type="band2Horz">
      <w:rPr>
        <w:color w:val="cd9600" w:themeColor="accent4" w:themeTint="9A" w:themeShade="95"/>
        <w:sz w:val="22"/>
      </w:rPr>
    </w:tblStylePr>
    <w:tblStylePr w:type="firstCol">
      <w:rPr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d9600" w:themeColor="accent4" w:themeTint="9A" w:themeShade="95"/>
        <w:sz w:val="22"/>
      </w:r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cd9600" w:themeColor="accent4" w:themeTint="9A" w:themeShade="95"/>
        <w:sz w:val="22"/>
      </w:rPr>
    </w:tblStylePr>
  </w:style>
  <w:style w:type="table" w:styleId="79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cPr>
        <w:shd w:val="clear" w:color="ffffff" w:fill="cfdcf0" w:themeFill="accent5" w:themeFillTint="40"/>
      </w:tcPr>
    </w:tblStylePr>
    <w:tblStylePr w:type="band1Vert">
      <w:tcPr>
        <w:shd w:val="clear" w:color="ffffff" w:fill="cfdcf0" w:themeFill="accent5" w:themeFillTint="40"/>
      </w:tcPr>
    </w:tblStylePr>
    <w:tblStylePr w:type="band2Horz">
      <w:rPr>
        <w:color w:val="335e9e" w:themeColor="accent5" w:themeTint="9A" w:themeShade="95"/>
        <w:sz w:val="22"/>
      </w:rPr>
    </w:tblStylePr>
    <w:tblStylePr w:type="firstCol">
      <w:rPr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e9e" w:themeColor="accent5" w:themeTint="9A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e9e" w:themeColor="accent5" w:themeTint="9A" w:themeShade="95"/>
        <w:sz w:val="22"/>
      </w:r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335e9e" w:themeColor="accent5" w:themeTint="9A" w:themeShade="95"/>
        <w:sz w:val="22"/>
      </w:rPr>
    </w:tblStylePr>
  </w:style>
  <w:style w:type="table" w:styleId="79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cPr>
        <w:shd w:val="clear" w:color="ffffff" w:fill="dbebd0" w:themeFill="accent6" w:themeFillTint="40"/>
      </w:tcPr>
    </w:tblStylePr>
    <w:tblStylePr w:type="band1Vert">
      <w:tcPr>
        <w:shd w:val="clear" w:color="ffffff" w:fill="dbebd0" w:themeFill="accent6" w:themeFillTint="40"/>
      </w:tcPr>
    </w:tblStylePr>
    <w:tblStylePr w:type="band2Horz">
      <w:rPr>
        <w:color w:val="5f8f3c" w:themeColor="accent6" w:themeTint="98" w:themeShade="95"/>
        <w:sz w:val="22"/>
      </w:rPr>
    </w:tblStylePr>
    <w:tblStylePr w:type="firstCol">
      <w:rPr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f8f3c" w:themeColor="accent6" w:themeTint="98" w:themeShade="95"/>
        <w:sz w:val="22"/>
      </w:r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f8f3c" w:themeColor="accent6" w:themeTint="98" w:themeShade="95"/>
        <w:sz w:val="22"/>
      </w:r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color w:val="5f8f3c" w:themeColor="accent6" w:themeTint="98" w:themeShade="95"/>
        <w:sz w:val="22"/>
      </w:rPr>
    </w:tblStylePr>
  </w:style>
  <w:style w:type="table" w:styleId="79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2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cPr>
        <w:shd w:val="clear" w:color="ffffff" w:fill="7f7f7f" w:themeFill="text1" w:themeFillTint="80"/>
      </w:tcPr>
    </w:tblStylePr>
  </w:style>
  <w:style w:type="table" w:styleId="79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cPr>
        <w:shd w:val="clear" w:color="ffffff" w:fill="67a4d8" w:themeFill="accent1" w:themeFillTint="EA"/>
      </w:tcPr>
    </w:tblStylePr>
  </w:style>
  <w:style w:type="table" w:styleId="79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cPr>
        <w:shd w:val="clear" w:color="ffffff" w:fill="f4b185" w:themeFill="accent2" w:themeFillTint="97"/>
      </w:tcPr>
    </w:tblStylePr>
  </w:style>
  <w:style w:type="table" w:styleId="80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cPr>
        <w:shd w:val="clear" w:color="ffffff" w:fill="a5a5a5" w:themeFill="accent3" w:themeFillTint="FE"/>
      </w:tcPr>
    </w:tblStylePr>
  </w:style>
  <w:style w:type="table" w:styleId="80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cPr>
        <w:shd w:val="clear" w:color="ffffff" w:fill="ffd864" w:themeFill="accent4" w:themeFillTint="9A"/>
      </w:tcPr>
    </w:tblStylePr>
  </w:style>
  <w:style w:type="table" w:styleId="80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cPr>
        <w:shd w:val="clear" w:color="ffffff" w:fill="4472c4" w:themeFill="accent5"/>
      </w:tcPr>
    </w:tblStylePr>
    <w:tblStylePr w:type="firstRow">
      <w:rPr>
        <w:color w:val="f2f2f2"/>
        <w:sz w:val="22"/>
      </w:rPr>
      <w:tcPr>
        <w:shd w:val="clear" w:color="ffffff" w:fill="4472c4" w:themeFill="accent5"/>
      </w:tcPr>
    </w:tblStylePr>
    <w:tblStylePr w:type="lastCol">
      <w:rPr>
        <w:color w:val="f2f2f2"/>
        <w:sz w:val="22"/>
      </w:rPr>
      <w:tcPr>
        <w:shd w:val="clear" w:color="ffffff" w:fill="4472c4" w:themeFill="accent5"/>
      </w:tcPr>
    </w:tblStylePr>
    <w:tblStylePr w:type="lastRow">
      <w:rPr>
        <w:color w:val="f2f2f2"/>
        <w:sz w:val="22"/>
      </w:rPr>
      <w:tcPr>
        <w:shd w:val="clear" w:color="ffffff" w:fill="4472c4" w:themeFill="accent5"/>
      </w:tcPr>
    </w:tblStylePr>
  </w:style>
  <w:style w:type="table" w:styleId="80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cPr>
        <w:shd w:val="clear" w:color="ffffff" w:fill="70ad47" w:themeFill="accent6"/>
      </w:tcPr>
    </w:tblStylePr>
    <w:tblStylePr w:type="firstRow">
      <w:rPr>
        <w:color w:val="f2f2f2"/>
        <w:sz w:val="22"/>
      </w:rPr>
      <w:tcPr>
        <w:shd w:val="clear" w:color="ffffff" w:fill="70ad47" w:themeFill="accent6"/>
      </w:tcPr>
    </w:tblStylePr>
    <w:tblStylePr w:type="lastCol">
      <w:rPr>
        <w:color w:val="f2f2f2"/>
        <w:sz w:val="22"/>
      </w:rPr>
      <w:tcPr>
        <w:shd w:val="clear" w:color="ffffff" w:fill="70ad47" w:themeFill="accent6"/>
      </w:tcPr>
    </w:tblStylePr>
    <w:tblStylePr w:type="lastRow">
      <w:rPr>
        <w:color w:val="f2f2f2"/>
        <w:sz w:val="22"/>
      </w:rPr>
      <w:tcPr>
        <w:shd w:val="clear" w:color="ffffff" w:fill="70ad47" w:themeFill="accent6"/>
      </w:tcPr>
    </w:tblStylePr>
  </w:style>
  <w:style w:type="table" w:styleId="80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2f2f2" w:themeFill="text1" w:themeFillTint="00"/>
      </w:tcPr>
    </w:tblStylePr>
    <w:tblStylePr w:type="band2Vert">
      <w:rPr>
        <w:color w:val="404040"/>
        <w:sz w:val="22"/>
      </w:rPr>
      <w:tcPr>
        <w:shd w:val="clear" w:color="ffffff" w:fill="f2f2f2" w:themeFill="text1" w:themeFillTint="00"/>
      </w:tcPr>
    </w:tblStylePr>
    <w:tblStylePr w:type="fir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cPr>
        <w:shd w:val="clear" w:color="ffffff" w:fill="7f7f7f" w:themeFill="text1" w:themeFillTint="80"/>
      </w:tcPr>
    </w:tblStylePr>
  </w:style>
  <w:style w:type="table" w:styleId="80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cPr>
        <w:shd w:val="clear" w:color="ffffff" w:fill="67a4d8" w:themeFill="accent1" w:themeFillTint="EA"/>
      </w:tcPr>
    </w:tblStylePr>
  </w:style>
  <w:style w:type="table" w:styleId="80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cPr>
        <w:shd w:val="clear" w:color="ffffff" w:fill="f4b185" w:themeFill="accent2" w:themeFillTint="97"/>
      </w:tcPr>
    </w:tblStylePr>
  </w:style>
  <w:style w:type="table" w:styleId="80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cPr>
        <w:shd w:val="clear" w:color="ffffff" w:fill="a5a5a5" w:themeFill="accent3" w:themeFillTint="FE"/>
      </w:tcPr>
    </w:tblStylePr>
  </w:style>
  <w:style w:type="table" w:styleId="80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cPr>
        <w:shd w:val="clear" w:color="ffffff" w:fill="ffd864" w:themeFill="accent4" w:themeFillTint="9A"/>
      </w:tcPr>
    </w:tblStylePr>
  </w:style>
  <w:style w:type="table" w:styleId="80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cPr>
        <w:shd w:val="clear" w:color="ffffff" w:fill="4472c4" w:themeFill="accent5"/>
      </w:tcPr>
    </w:tblStylePr>
    <w:tblStylePr w:type="firstRow">
      <w:rPr>
        <w:color w:val="f2f2f2"/>
        <w:sz w:val="22"/>
      </w:rPr>
      <w:tcPr>
        <w:shd w:val="clear" w:color="ffffff" w:fill="4472c4" w:themeFill="accent5"/>
      </w:tcPr>
    </w:tblStylePr>
    <w:tblStylePr w:type="lastCol">
      <w:rPr>
        <w:color w:val="f2f2f2"/>
        <w:sz w:val="22"/>
      </w:rPr>
      <w:tcPr>
        <w:shd w:val="clear" w:color="ffffff" w:fill="4472c4" w:themeFill="accent5"/>
      </w:tcPr>
    </w:tblStylePr>
    <w:tblStylePr w:type="lastRow">
      <w:rPr>
        <w:color w:val="f2f2f2"/>
        <w:sz w:val="22"/>
      </w:rPr>
      <w:tcPr>
        <w:shd w:val="clear" w:color="ffffff" w:fill="4472c4" w:themeFill="accent5"/>
      </w:tcPr>
    </w:tblStylePr>
  </w:style>
  <w:style w:type="table" w:styleId="81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cPr>
        <w:shd w:val="clear" w:color="ffffff" w:fill="70ad47" w:themeFill="accent6"/>
      </w:tcPr>
    </w:tblStylePr>
    <w:tblStylePr w:type="firstRow">
      <w:rPr>
        <w:color w:val="f2f2f2"/>
        <w:sz w:val="22"/>
      </w:rPr>
      <w:tcPr>
        <w:shd w:val="clear" w:color="ffffff" w:fill="70ad47" w:themeFill="accent6"/>
      </w:tcPr>
    </w:tblStylePr>
    <w:tblStylePr w:type="lastCol">
      <w:rPr>
        <w:color w:val="f2f2f2"/>
        <w:sz w:val="22"/>
      </w:rPr>
      <w:tcPr>
        <w:shd w:val="clear" w:color="ffffff" w:fill="70ad47" w:themeFill="accent6"/>
      </w:tcPr>
    </w:tblStylePr>
    <w:tblStylePr w:type="lastRow">
      <w:rPr>
        <w:color w:val="f2f2f2"/>
        <w:sz w:val="22"/>
      </w:rPr>
      <w:tcPr>
        <w:shd w:val="clear" w:color="ffffff" w:fill="70ad47" w:themeFill="accent6"/>
      </w:tcPr>
    </w:tblStylePr>
  </w:style>
  <w:style w:type="table" w:styleId="811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text1" w:sz="12" w:space="0"/>
        </w:tcBorders>
      </w:tcPr>
    </w:tblStylePr>
  </w:style>
  <w:style w:type="table" w:styleId="812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2" w:sz="12" w:space="0"/>
        </w:tcBorders>
      </w:tcPr>
    </w:tblStylePr>
  </w:style>
  <w:style w:type="table" w:styleId="814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3" w:sz="12" w:space="0"/>
        </w:tcBorders>
      </w:tcPr>
    </w:tblStylePr>
  </w:style>
  <w:style w:type="table" w:styleId="815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4" w:sz="12" w:space="0"/>
        </w:tcBorders>
      </w:tcPr>
    </w:tblStylePr>
  </w:style>
  <w:style w:type="table" w:styleId="816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5" w:sz="12" w:space="0"/>
        </w:tcBorders>
      </w:tcPr>
    </w:tblStylePr>
  </w:style>
  <w:style w:type="table" w:styleId="817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accent6" w:sz="12" w:space="0"/>
        </w:tcBorders>
      </w:tcPr>
    </w:tblStylePr>
  </w:style>
  <w:style w:type="table" w:styleId="81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snyk.io/" TargetMode="External"/><Relationship Id="rId11" Type="http://schemas.openxmlformats.org/officeDocument/2006/relationships/hyperlink" Target="https://github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5</cp:revision>
  <dcterms:modified xsi:type="dcterms:W3CDTF">2025-01-21T06:25:37Z</dcterms:modified>
</cp:coreProperties>
</file>