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5E" w:rsidRPr="00B41656" w:rsidRDefault="000D365E" w:rsidP="000D36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ans" w:hAnsi="Times New Roman" w:cs="Times New Roman"/>
          <w:b/>
          <w:sz w:val="24"/>
          <w:szCs w:val="24"/>
          <w:u w:val="single"/>
        </w:rPr>
      </w:pPr>
      <w:r w:rsidRPr="00B41656">
        <w:rPr>
          <w:rFonts w:ascii="Times New Roman" w:eastAsia="LiberationSans" w:hAnsi="Times New Roman" w:cs="Times New Roman"/>
          <w:b/>
          <w:sz w:val="24"/>
          <w:szCs w:val="24"/>
          <w:u w:val="single"/>
        </w:rPr>
        <w:t>PL/SQL Packages</w:t>
      </w:r>
    </w:p>
    <w:p w:rsidR="00F43EB0" w:rsidRPr="00B41656" w:rsidRDefault="00F43EB0" w:rsidP="000D36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ans" w:hAnsi="Times New Roman" w:cs="Times New Roman"/>
          <w:b/>
          <w:sz w:val="24"/>
          <w:szCs w:val="24"/>
          <w:u w:val="single"/>
        </w:rPr>
      </w:pPr>
    </w:p>
    <w:p w:rsidR="00500F7B" w:rsidRPr="00B41656" w:rsidRDefault="00500F7B" w:rsidP="0050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656">
        <w:rPr>
          <w:rFonts w:ascii="Times New Roman" w:hAnsi="Times New Roman" w:cs="Times New Roman"/>
          <w:sz w:val="24"/>
          <w:szCs w:val="24"/>
        </w:rPr>
        <w:t>A package is a schema object that groups logically related PL/SQL types, variables,</w:t>
      </w:r>
      <w:r w:rsidRPr="00B41656">
        <w:rPr>
          <w:rFonts w:ascii="Times New Roman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hAnsi="Times New Roman" w:cs="Times New Roman"/>
          <w:sz w:val="24"/>
          <w:szCs w:val="24"/>
        </w:rPr>
        <w:t>and</w:t>
      </w:r>
      <w:r w:rsidRPr="00B41656">
        <w:rPr>
          <w:rFonts w:ascii="Times New Roman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hAnsi="Times New Roman" w:cs="Times New Roman"/>
          <w:sz w:val="24"/>
          <w:szCs w:val="24"/>
        </w:rPr>
        <w:t xml:space="preserve">subprograms. </w:t>
      </w:r>
    </w:p>
    <w:p w:rsidR="00500F7B" w:rsidRPr="00B41656" w:rsidRDefault="00500F7B" w:rsidP="0050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50A" w:rsidRPr="00B41656" w:rsidRDefault="00500F7B" w:rsidP="0050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656">
        <w:rPr>
          <w:rFonts w:ascii="Times New Roman" w:hAnsi="Times New Roman" w:cs="Times New Roman"/>
          <w:sz w:val="24"/>
          <w:szCs w:val="24"/>
        </w:rPr>
        <w:t xml:space="preserve">Packages usually have two parts, a </w:t>
      </w:r>
      <w:r w:rsidRPr="00B41656">
        <w:rPr>
          <w:rFonts w:ascii="Times New Roman" w:hAnsi="Times New Roman" w:cs="Times New Roman"/>
          <w:sz w:val="24"/>
          <w:szCs w:val="24"/>
        </w:rPr>
        <w:t xml:space="preserve">specification (spec) and a body </w:t>
      </w:r>
      <w:r w:rsidRPr="00B41656">
        <w:rPr>
          <w:rFonts w:ascii="Times New Roman" w:hAnsi="Times New Roman" w:cs="Times New Roman"/>
          <w:sz w:val="24"/>
          <w:szCs w:val="24"/>
        </w:rPr>
        <w:t xml:space="preserve">sometimes the body is unnecessary. </w:t>
      </w:r>
    </w:p>
    <w:p w:rsidR="00D4450A" w:rsidRPr="00B41656" w:rsidRDefault="00D4450A" w:rsidP="0050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F7B" w:rsidRPr="00B41656" w:rsidRDefault="00500F7B" w:rsidP="0050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656">
        <w:rPr>
          <w:rFonts w:ascii="Times New Roman" w:hAnsi="Times New Roman" w:cs="Times New Roman"/>
          <w:sz w:val="24"/>
          <w:szCs w:val="24"/>
        </w:rPr>
        <w:t>The specification is the interface to the package. It</w:t>
      </w:r>
      <w:r w:rsidRPr="00B41656">
        <w:rPr>
          <w:rFonts w:ascii="Times New Roman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hAnsi="Times New Roman" w:cs="Times New Roman"/>
          <w:sz w:val="24"/>
          <w:szCs w:val="24"/>
        </w:rPr>
        <w:t>declares the types, variables, constants, exceptions, cursors, and subprograms that can</w:t>
      </w:r>
      <w:r w:rsidRPr="00B41656">
        <w:rPr>
          <w:rFonts w:ascii="Times New Roman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hAnsi="Times New Roman" w:cs="Times New Roman"/>
          <w:sz w:val="24"/>
          <w:szCs w:val="24"/>
        </w:rPr>
        <w:t>be referenced from outside the package. The body defines the queries for the cursors</w:t>
      </w:r>
      <w:r w:rsidRPr="00B41656">
        <w:rPr>
          <w:rFonts w:ascii="Times New Roman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hAnsi="Times New Roman" w:cs="Times New Roman"/>
          <w:sz w:val="24"/>
          <w:szCs w:val="24"/>
        </w:rPr>
        <w:t>and the code for the subprograms.</w:t>
      </w:r>
    </w:p>
    <w:p w:rsidR="00500F7B" w:rsidRPr="00B41656" w:rsidRDefault="00500F7B" w:rsidP="0050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50A" w:rsidRPr="00B41656" w:rsidRDefault="00D4450A" w:rsidP="00D44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sz w:val="24"/>
          <w:szCs w:val="24"/>
        </w:rPr>
        <w:t xml:space="preserve">A package always has a </w:t>
      </w:r>
      <w:r w:rsidRPr="00B41656">
        <w:rPr>
          <w:rFonts w:ascii="Times New Roman" w:eastAsia="LiberationSans" w:hAnsi="Times New Roman" w:cs="Times New Roman"/>
          <w:b/>
          <w:bCs/>
          <w:sz w:val="24"/>
          <w:szCs w:val="24"/>
        </w:rPr>
        <w:t>specification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 xml:space="preserve">, which declares the </w:t>
      </w:r>
      <w:r w:rsidRPr="00B41656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public items 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>that can be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>referenced from outside the package.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>If the public items include cursors or subprograms, then the package must also have a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b/>
          <w:bCs/>
          <w:sz w:val="24"/>
          <w:szCs w:val="24"/>
        </w:rPr>
        <w:t>body</w:t>
      </w:r>
    </w:p>
    <w:p w:rsidR="00D4450A" w:rsidRPr="00B41656" w:rsidRDefault="00D4450A" w:rsidP="0050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F7B" w:rsidRPr="00B41656" w:rsidRDefault="00500F7B" w:rsidP="0050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656">
        <w:rPr>
          <w:rFonts w:ascii="Times New Roman" w:hAnsi="Times New Roman" w:cs="Times New Roman"/>
          <w:sz w:val="24"/>
          <w:szCs w:val="24"/>
        </w:rPr>
        <w:t xml:space="preserve">You can think of the spec as an interface and of the body as a </w:t>
      </w:r>
      <w:r w:rsidRPr="00B41656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B41656">
        <w:rPr>
          <w:rFonts w:ascii="Times New Roman" w:hAnsi="Times New Roman" w:cs="Times New Roman"/>
          <w:sz w:val="24"/>
          <w:szCs w:val="24"/>
        </w:rPr>
        <w:t>. You can debug,</w:t>
      </w:r>
      <w:r w:rsidRPr="00B41656">
        <w:rPr>
          <w:rFonts w:ascii="Times New Roman" w:hAnsi="Times New Roman" w:cs="Times New Roman"/>
          <w:sz w:val="24"/>
          <w:szCs w:val="24"/>
        </w:rPr>
        <w:t xml:space="preserve"> </w:t>
      </w:r>
      <w:r w:rsidR="00BC3484" w:rsidRPr="00B41656">
        <w:rPr>
          <w:rFonts w:ascii="Times New Roman" w:hAnsi="Times New Roman" w:cs="Times New Roman"/>
          <w:sz w:val="24"/>
          <w:szCs w:val="24"/>
        </w:rPr>
        <w:t>e</w:t>
      </w:r>
      <w:r w:rsidRPr="00B41656">
        <w:rPr>
          <w:rFonts w:ascii="Times New Roman" w:hAnsi="Times New Roman" w:cs="Times New Roman"/>
          <w:sz w:val="24"/>
          <w:szCs w:val="24"/>
        </w:rPr>
        <w:t>nhance, or replace a package body without changing the package spec.</w:t>
      </w:r>
    </w:p>
    <w:p w:rsidR="00500F7B" w:rsidRPr="00B41656" w:rsidRDefault="00500F7B" w:rsidP="0050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484" w:rsidRPr="00B41656" w:rsidRDefault="00BC3484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sz w:val="24"/>
          <w:szCs w:val="24"/>
        </w:rPr>
        <w:t xml:space="preserve">The </w:t>
      </w:r>
      <w:r w:rsidRPr="00B41656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AUTHID clause 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>of the package specification determines whether the subprograms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>and cursors in the package run with the privileges of their definer (the default) or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>invoker, and whether their unqualified references to schema objects are resolved in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sz w:val="24"/>
          <w:szCs w:val="24"/>
        </w:rPr>
        <w:t>the schema of the definer or invoker.</w:t>
      </w:r>
    </w:p>
    <w:p w:rsidR="00BC3484" w:rsidRPr="00B41656" w:rsidRDefault="00BC3484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sz w:val="24"/>
          <w:szCs w:val="24"/>
        </w:rPr>
      </w:pPr>
    </w:p>
    <w:p w:rsidR="00BC3484" w:rsidRPr="00B41656" w:rsidRDefault="00BC3484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The </w:t>
      </w:r>
      <w:r w:rsidRPr="00B41656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ACCESSIBLE BY clause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of the package specification lets you specify a white list of</w:t>
      </w:r>
    </w:p>
    <w:p w:rsidR="00BC3484" w:rsidRPr="00B41656" w:rsidRDefault="00BC3484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PL/SQL units that can access the package. You use this clause in situations like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these:</w:t>
      </w:r>
    </w:p>
    <w:p w:rsidR="00BC3484" w:rsidRPr="00B41656" w:rsidRDefault="00BC3484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C3484" w:rsidRPr="00B41656" w:rsidRDefault="00BC3484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C3484" w:rsidRPr="00B41656" w:rsidRDefault="00BC3484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1D5AAC"/>
          <w:sz w:val="24"/>
          <w:szCs w:val="24"/>
        </w:rPr>
        <w:t xml:space="preserve">•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You implement a PL/SQL application as several packages—one package that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provides the application programming interface (API) and helper packages to do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the work. You want clients to have access to the API, but not to the helper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packages. Therefore, you omit the ACCESSIBLE BY clause from the API package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specification and include it in each helper package specification, where you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specify that only the API package can access the helper package.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</w:p>
    <w:p w:rsidR="00BC3484" w:rsidRPr="00B41656" w:rsidRDefault="00BC3484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C3484" w:rsidRPr="00B41656" w:rsidRDefault="00BC3484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1D5AAC"/>
          <w:sz w:val="24"/>
          <w:szCs w:val="24"/>
        </w:rPr>
        <w:t xml:space="preserve">•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You create a utility package to provide services to some, but not all, PL/SQL units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in the same schema. To restrict use of the package to the intended units, you list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them in the ACCESSIBLE BY clause in the package specification.</w:t>
      </w:r>
    </w:p>
    <w:p w:rsidR="00B41656" w:rsidRPr="00B41656" w:rsidRDefault="00B41656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41656" w:rsidRPr="00B41656" w:rsidRDefault="00B41656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41656" w:rsidRPr="00B41656" w:rsidRDefault="00B41656" w:rsidP="00BC3484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165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Reasons to Use Packages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Packages support the development and maintenance of reliable, reusable code with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the following features:</w:t>
      </w: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1D5AAC"/>
          <w:sz w:val="24"/>
          <w:szCs w:val="24"/>
        </w:rPr>
        <w:t xml:space="preserve">• </w:t>
      </w:r>
      <w:r w:rsidRPr="00B416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Modularity</w:t>
      </w: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Packages let you encapsulate logically related types, variables, constants,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subprograms, cursors, and exceptions in named PL/SQL modules. You can make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each package easy to understand, and make the interfaces between packages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simple, clear, and well defined. This practice aids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application development.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1D5AAC"/>
          <w:sz w:val="24"/>
          <w:szCs w:val="24"/>
        </w:rPr>
      </w:pP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1D5AAC"/>
          <w:sz w:val="24"/>
          <w:szCs w:val="24"/>
        </w:rPr>
        <w:t xml:space="preserve">• </w:t>
      </w:r>
      <w:r w:rsidRPr="00B416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Easier Application Design</w:t>
      </w: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When designing an application, all you need initially is the interface information in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the package specifications. You can code and compile specifications without their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bodies. Next, you can compile standalone subprograms that reference the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packages. You need not fully define the package bodies until you are ready to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complete the application.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1D5AAC"/>
          <w:sz w:val="24"/>
          <w:szCs w:val="24"/>
        </w:rPr>
      </w:pP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1D5AAC"/>
          <w:sz w:val="24"/>
          <w:szCs w:val="24"/>
        </w:rPr>
        <w:t xml:space="preserve">• </w:t>
      </w:r>
      <w:r w:rsidRPr="00B416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Hidden Implementation Details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Packages let you share your interface information in the package specification,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and hide the implementation details in the package body. Hiding the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implementation details in the body has these advantages: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1D5AAC"/>
          <w:sz w:val="24"/>
          <w:szCs w:val="24"/>
        </w:rPr>
        <w:t xml:space="preserve">–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You can change the implementation details without affecting the application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interface.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1D5AAC"/>
          <w:sz w:val="24"/>
          <w:szCs w:val="24"/>
        </w:rPr>
        <w:t xml:space="preserve">–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Application users cannot develop code that depends on implementation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details that you might want to change.</w:t>
      </w: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1D5AAC"/>
          <w:sz w:val="24"/>
          <w:szCs w:val="24"/>
        </w:rPr>
        <w:t xml:space="preserve">• </w:t>
      </w:r>
      <w:r w:rsidRPr="00B41656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>Added Functionality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Package public variables and cursors can persist for the life of a session. They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can be shared by all subprograms that run in the environment. They let you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maintain data across transactions without storing it in the database. 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1D5AAC"/>
          <w:sz w:val="24"/>
          <w:szCs w:val="24"/>
        </w:rPr>
        <w:t xml:space="preserve">• </w:t>
      </w:r>
      <w:r w:rsidRPr="00B41656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>Better Performance</w:t>
      </w: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The first time you invoke a package subprogram, Oracle Database loads the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whole package into memory. Subsequent invocations of other subprograms in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same the package require no disk I/O.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Packages prevent cascading dependencies and unnecessary recompiling. For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example, if you change the body of a package function, Oracle Database does not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recompile other subprograms that invoke the function, because these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subprograms depend only on the parameters and return value that are declared in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the specification.</w:t>
      </w: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B41656" w:rsidRP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1D5AAC"/>
          <w:sz w:val="24"/>
          <w:szCs w:val="24"/>
        </w:rPr>
        <w:t xml:space="preserve">• </w:t>
      </w:r>
      <w:r w:rsidRPr="00B41656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>Easier to Grant Roles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You can grant roles on the package, instead of granting roles on each object in the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B41656">
        <w:rPr>
          <w:rFonts w:ascii="Times New Roman" w:eastAsia="LiberationSans" w:hAnsi="Times New Roman" w:cs="Times New Roman"/>
          <w:color w:val="000000"/>
          <w:sz w:val="24"/>
          <w:szCs w:val="24"/>
        </w:rPr>
        <w:t>package.</w:t>
      </w:r>
    </w:p>
    <w:p w:rsidR="0073227E" w:rsidRDefault="0073227E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73227E" w:rsidRDefault="0073227E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73227E" w:rsidRDefault="0073227E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73227E" w:rsidRDefault="0073227E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73227E" w:rsidRDefault="0073227E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73227E" w:rsidRPr="0073227E" w:rsidRDefault="0073227E" w:rsidP="00B41656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73227E" w:rsidRDefault="0073227E" w:rsidP="007322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227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What Goes In a PL/SQL Package?</w:t>
      </w:r>
    </w:p>
    <w:p w:rsidR="0073227E" w:rsidRPr="0073227E" w:rsidRDefault="0073227E" w:rsidP="007322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3227E" w:rsidRP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227E">
        <w:rPr>
          <w:rFonts w:ascii="Times New Roman" w:hAnsi="Times New Roman" w:cs="Times New Roman"/>
          <w:color w:val="000000"/>
          <w:sz w:val="24"/>
          <w:szCs w:val="24"/>
        </w:rPr>
        <w:t>The following is contained in a PL/SQL package:</w:t>
      </w:r>
    </w:p>
    <w:p w:rsid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0000"/>
          <w:sz w:val="24"/>
          <w:szCs w:val="24"/>
        </w:rPr>
      </w:pPr>
    </w:p>
    <w:p w:rsid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227E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Get and Set methods for the package variables, if you want to avoid letting other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procedures read and write them directly.</w:t>
      </w:r>
    </w:p>
    <w:p w:rsidR="0073227E" w:rsidRP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7E" w:rsidRP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227E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Cursor declarations with the text of SQL queries. Reusing exactly the same query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text in multiple locations is faster than retyping the same query each time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slight differences. It is also easier to maintain if you need to change a query that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used in many places.</w:t>
      </w:r>
    </w:p>
    <w:p w:rsid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0000"/>
          <w:sz w:val="24"/>
          <w:szCs w:val="24"/>
        </w:rPr>
      </w:pPr>
    </w:p>
    <w:p w:rsid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227E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Declarations for exceptions. Typically, you need to be able to reference these 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different procedures, so that you can handle exceptions within called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subprograms.</w:t>
      </w:r>
    </w:p>
    <w:p w:rsidR="0073227E" w:rsidRP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7E" w:rsidRP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227E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Declarations for procedures and functions that call each other. You do not need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worry about compilation order for packaged procedures and functions, making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them more convenient than standalone stored procedures and functions when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they call back and forth to each other.</w:t>
      </w:r>
    </w:p>
    <w:p w:rsid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0000"/>
          <w:sz w:val="24"/>
          <w:szCs w:val="24"/>
        </w:rPr>
      </w:pPr>
    </w:p>
    <w:p w:rsidR="0073227E" w:rsidRP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227E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Declarations for overloaded procedures and functions. You can create multiple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variations of a procedure or function, using the same names but different sets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parameters.</w:t>
      </w:r>
    </w:p>
    <w:p w:rsid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0000"/>
          <w:sz w:val="24"/>
          <w:szCs w:val="24"/>
        </w:rPr>
      </w:pPr>
    </w:p>
    <w:p w:rsid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227E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Variables that you want to remain available between procedure calls in the same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session. You can treat variables in a package like global variables.</w:t>
      </w:r>
    </w:p>
    <w:p w:rsidR="0073227E" w:rsidRP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227E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Type declarations for PL/SQL collection types. To pass a collection as a parameter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between stored procedures or functions, you must declare the type in a package so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27E">
        <w:rPr>
          <w:rFonts w:ascii="Times New Roman" w:hAnsi="Times New Roman" w:cs="Times New Roman"/>
          <w:color w:val="000000"/>
          <w:sz w:val="24"/>
          <w:szCs w:val="24"/>
        </w:rPr>
        <w:t>that both the calling and called subprogram can refer to it.</w:t>
      </w:r>
    </w:p>
    <w:p w:rsidR="0073227E" w:rsidRPr="0073227E" w:rsidRDefault="0073227E" w:rsidP="0073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73227E" w:rsidRPr="0073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E3"/>
    <w:rsid w:val="000D365E"/>
    <w:rsid w:val="00500F7B"/>
    <w:rsid w:val="0073227E"/>
    <w:rsid w:val="00B41656"/>
    <w:rsid w:val="00B519E3"/>
    <w:rsid w:val="00BC3484"/>
    <w:rsid w:val="00D4450A"/>
    <w:rsid w:val="00F43EB0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D2170-C954-4E2F-BCE3-2AF36C3C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Ali</dc:creator>
  <cp:keywords/>
  <dc:description/>
  <cp:lastModifiedBy>Nadir Ali</cp:lastModifiedBy>
  <cp:revision>8</cp:revision>
  <dcterms:created xsi:type="dcterms:W3CDTF">2021-07-28T07:42:00Z</dcterms:created>
  <dcterms:modified xsi:type="dcterms:W3CDTF">2021-07-28T12:01:00Z</dcterms:modified>
</cp:coreProperties>
</file>