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B2545"/>
          <w:sz w:val="50"/>
        </w:rPr>
        <w:t>Nirmala Sundarappa</w:t>
      </w:r>
    </w:p>
    <w:p>
      <w:pPr>
        <w:spacing w:after="280"/>
      </w:pPr>
      <w:r>
        <w:rPr>
          <w:rFonts w:ascii="Calibri" w:hAnsi="Calibri"/>
          <w:color w:val="5B6573"/>
          <w:sz w:val="26"/>
        </w:rPr>
        <w:t>Projects and activities — prioritized for customer and external-developer impact</w:t>
      </w:r>
    </w:p>
    <w:p>
      <w:pPr>
        <w:spacing w:after="200"/>
      </w:pPr>
      <w:r>
        <w:rPr>
          <w:rFonts w:ascii="Calibri" w:hAnsi="Calibri"/>
          <w:b/>
          <w:color w:val="0B2545"/>
          <w:sz w:val="22"/>
        </w:rPr>
        <w:t xml:space="preserve">Scope. </w:t>
      </w:r>
      <w:r>
        <w:rPr>
          <w:rFonts w:ascii="Calibri" w:hAnsi="Calibri"/>
          <w:sz w:val="22"/>
        </w:rPr>
        <w:t>This curated inventory is based on 50 Confluence search matches. It leads with direct customer engagements and external developer programs, then lists developer enablement and supporting internal references. Incidental name-only mentions are excluded.</w:t>
      </w:r>
    </w:p>
    <w:p>
      <w:pPr>
        <w:pStyle w:val="Heading1"/>
      </w:pPr>
      <w:r>
        <w:t>Priority: customer and external developer engagement</w:t>
      </w:r>
    </w:p>
    <w:p>
      <w:pPr>
        <w:pStyle w:val="PriorityItem"/>
        <w:keepNext/>
      </w:pPr>
      <w:r>
        <w:rPr>
          <w:rFonts w:ascii="Calibri" w:hAnsi="Calibri"/>
          <w:b/>
          <w:color w:val="0B2545"/>
          <w:sz w:val="24"/>
        </w:rPr>
        <w:t>1. GDP for Java 2024</w:t>
      </w:r>
    </w:p>
    <w:p>
      <w:pPr>
        <w:spacing w:after="20"/>
      </w:pPr>
      <w:r>
        <w:t>Nirmala-led Global Developers Program for Java: selected customer and developer feedback, roadmap review, 23ai and open-source demos, polls, feature requests, and Q&amp;A.</w:t>
      </w:r>
    </w:p>
    <w:p>
      <w:pPr>
        <w:spacing w:before="20" w:after="180" w:line="264" w:lineRule="auto"/>
      </w:pPr>
      <w:hyperlink r:id="rId11">
        <w:r>
          <w:rPr>
            <w:color w:val="2E74B5"/>
            <w:u w:val="single"/>
            <w:rFonts w:ascii="Calibri" w:hAnsi="Calibri"/>
            <w:sz w:val="20"/>
          </w:rPr>
          <w:t>Open in Oracle Central Confluence</w:t>
        </w:r>
      </w:hyperlink>
      <w:r>
        <w:rPr>
          <w:rFonts w:ascii="Calibri" w:hAnsi="Calibri"/>
          <w:i/>
          <w:color w:val="5B6573"/>
          <w:sz w:val="18"/>
        </w:rPr>
        <w:t xml:space="preserve">  |  Oracle Restricted</w:t>
      </w:r>
    </w:p>
    <w:p>
      <w:pPr>
        <w:pStyle w:val="PriorityItem"/>
        <w:keepNext/>
      </w:pPr>
      <w:r>
        <w:rPr>
          <w:rFonts w:ascii="Calibri" w:hAnsi="Calibri"/>
          <w:b/>
          <w:color w:val="0B2545"/>
          <w:sz w:val="24"/>
        </w:rPr>
        <w:t>2. Database Java/JDBC Customer Advisory Board</w:t>
      </w:r>
    </w:p>
    <w:p>
      <w:pPr>
        <w:spacing w:after="20"/>
      </w:pPr>
      <w:r>
        <w:t>Nirmala is the listed contact for the Database Java/JDBC Customer Advisory Board, providing a direct channel for structured customer input.</w:t>
      </w:r>
    </w:p>
    <w:p>
      <w:pPr>
        <w:spacing w:before="20" w:after="180" w:line="264" w:lineRule="auto"/>
      </w:pPr>
      <w:hyperlink r:id="rId12">
        <w:r>
          <w:rPr>
            <w:color w:val="2E74B5"/>
            <w:u w:val="single"/>
            <w:rFonts w:ascii="Calibri" w:hAnsi="Calibri"/>
            <w:sz w:val="20"/>
          </w:rPr>
          <w:t>Open in Oracle Central Confluence</w:t>
        </w:r>
      </w:hyperlink>
      <w:r>
        <w:rPr>
          <w:rFonts w:ascii="Calibri" w:hAnsi="Calibri"/>
          <w:i/>
          <w:color w:val="5B6573"/>
          <w:sz w:val="18"/>
        </w:rPr>
        <w:t xml:space="preserve">  |  Oracle Restricted</w:t>
      </w:r>
    </w:p>
    <w:p>
      <w:pPr>
        <w:pStyle w:val="PriorityItem"/>
        <w:keepNext/>
      </w:pPr>
      <w:r>
        <w:rPr>
          <w:rFonts w:ascii="Calibri" w:hAnsi="Calibri"/>
          <w:b/>
          <w:color w:val="0B2545"/>
          <w:sz w:val="24"/>
        </w:rPr>
        <w:t>3. FY26 customer engagements and developer evangelism</w:t>
      </w:r>
    </w:p>
    <w:p>
      <w:pPr>
        <w:spacing w:after="20"/>
      </w:pPr>
      <w:r>
        <w:t>The FY26 report records five customer engagements for Nirmala, including GDP4Java and Salesforce work, plus a developer-facing JDBC dependency-management blog.</w:t>
      </w:r>
    </w:p>
    <w:p>
      <w:pPr>
        <w:spacing w:before="20" w:after="180" w:line="264" w:lineRule="auto"/>
      </w:pPr>
      <w:hyperlink r:id="rId13">
        <w:r>
          <w:rPr>
            <w:color w:val="2E74B5"/>
            <w:u w:val="single"/>
            <w:rFonts w:ascii="Calibri" w:hAnsi="Calibri"/>
            <w:sz w:val="20"/>
          </w:rPr>
          <w:t>Open in Oracle Central Confluence</w:t>
        </w:r>
      </w:hyperlink>
      <w:r>
        <w:rPr>
          <w:rFonts w:ascii="Calibri" w:hAnsi="Calibri"/>
          <w:i/>
          <w:color w:val="5B6573"/>
          <w:sz w:val="18"/>
        </w:rPr>
        <w:t xml:space="preserve">  |  Oracle Internal</w:t>
      </w:r>
    </w:p>
    <w:p>
      <w:pPr>
        <w:pStyle w:val="PriorityItem"/>
        <w:keepNext/>
      </w:pPr>
      <w:r>
        <w:rPr>
          <w:rFonts w:ascii="Calibri" w:hAnsi="Calibri"/>
          <w:b/>
          <w:color w:val="0B2545"/>
          <w:sz w:val="24"/>
        </w:rPr>
        <w:t>4. Finanz Informatika + IBM Open Liberty proof of concept</w:t>
      </w:r>
    </w:p>
    <w:p>
      <w:pPr>
        <w:spacing w:after="20"/>
      </w:pPr>
      <w:r>
        <w:t>Customer proof of concept for UCP integration with IBM Open Liberty, with Nirmala on the development team and coordination involving IBM.</w:t>
      </w:r>
    </w:p>
    <w:p>
      <w:pPr>
        <w:spacing w:before="20" w:after="180" w:line="264" w:lineRule="auto"/>
      </w:pPr>
      <w:hyperlink r:id="rId14">
        <w:r>
          <w:rPr>
            <w:color w:val="2E74B5"/>
            <w:u w:val="single"/>
            <w:rFonts w:ascii="Calibri" w:hAnsi="Calibri"/>
            <w:sz w:val="20"/>
          </w:rPr>
          <w:t>Open in Oracle Central Confluence</w:t>
        </w:r>
      </w:hyperlink>
      <w:r>
        <w:rPr>
          <w:rFonts w:ascii="Calibri" w:hAnsi="Calibri"/>
          <w:i/>
          <w:color w:val="5B6573"/>
          <w:sz w:val="18"/>
        </w:rPr>
        <w:t xml:space="preserve">  |  Oracle Internal</w:t>
      </w:r>
    </w:p>
    <w:p>
      <w:pPr>
        <w:pStyle w:val="PriorityItem"/>
        <w:keepNext/>
      </w:pPr>
      <w:r>
        <w:rPr>
          <w:rFonts w:ascii="Calibri" w:hAnsi="Calibri"/>
          <w:b/>
          <w:color w:val="0B2545"/>
          <w:sz w:val="24"/>
        </w:rPr>
        <w:t>5. Workday Prism / Adaptive Planning HikariCP engagement</w:t>
      </w:r>
    </w:p>
    <w:p>
      <w:pPr>
        <w:spacing w:after="20"/>
      </w:pPr>
      <w:r>
        <w:t>Customer-facing technical work concerning HikariCP request boundaries and UCP migration recommendations for high-availability integration.</w:t>
      </w:r>
    </w:p>
    <w:p>
      <w:pPr>
        <w:spacing w:before="20" w:after="180" w:line="264" w:lineRule="auto"/>
      </w:pPr>
      <w:hyperlink r:id="rId15">
        <w:r>
          <w:rPr>
            <w:color w:val="2E74B5"/>
            <w:u w:val="single"/>
            <w:rFonts w:ascii="Calibri" w:hAnsi="Calibri"/>
            <w:sz w:val="20"/>
          </w:rPr>
          <w:t>Open in Oracle Central Confluence</w:t>
        </w:r>
      </w:hyperlink>
      <w:r>
        <w:rPr>
          <w:rFonts w:ascii="Calibri" w:hAnsi="Calibri"/>
          <w:i/>
          <w:color w:val="5B6573"/>
          <w:sz w:val="18"/>
        </w:rPr>
        <w:t xml:space="preserve">  |  Oracle Internal</w:t>
      </w:r>
    </w:p>
    <w:p>
      <w:pPr>
        <w:pStyle w:val="PriorityItem"/>
        <w:keepNext/>
      </w:pPr>
      <w:r>
        <w:rPr>
          <w:rFonts w:ascii="Calibri" w:hAnsi="Calibri"/>
          <w:b/>
          <w:color w:val="0B2545"/>
          <w:sz w:val="24"/>
        </w:rPr>
        <w:t>6. Oracle CloudWorld 2022</w:t>
      </w:r>
    </w:p>
    <w:p>
      <w:pPr>
        <w:spacing w:after="20"/>
      </w:pPr>
      <w:r>
        <w:t>Java-developer sessions and materials, including JDBC and Autonomous Database connectivity content.</w:t>
      </w:r>
    </w:p>
    <w:p>
      <w:pPr>
        <w:spacing w:before="20" w:after="180" w:line="264" w:lineRule="auto"/>
      </w:pPr>
      <w:hyperlink r:id="rId16">
        <w:r>
          <w:rPr>
            <w:color w:val="2E74B5"/>
            <w:u w:val="single"/>
            <w:rFonts w:ascii="Calibri" w:hAnsi="Calibri"/>
            <w:sz w:val="20"/>
          </w:rPr>
          <w:t>Open in Oracle Central Confluence</w:t>
        </w:r>
      </w:hyperlink>
    </w:p>
    <w:p>
      <w:pPr>
        <w:pStyle w:val="PriorityItem"/>
        <w:keepNext/>
      </w:pPr>
      <w:r>
        <w:rPr>
          <w:rFonts w:ascii="Calibri" w:hAnsi="Calibri"/>
          <w:b/>
          <w:color w:val="0B2545"/>
          <w:sz w:val="24"/>
        </w:rPr>
        <w:t>7. Approved Sessions and LiveLabs</w:t>
      </w:r>
    </w:p>
    <w:p>
      <w:pPr>
        <w:spacing w:after="20"/>
      </w:pPr>
      <w:r>
        <w:t>CloudWorld sessions, JavaOne demos, and developer-facing event content with Nirmala listed as a speaker or contributor.</w:t>
      </w:r>
    </w:p>
    <w:p>
      <w:pPr>
        <w:spacing w:before="20" w:after="180" w:line="264" w:lineRule="auto"/>
      </w:pPr>
      <w:hyperlink r:id="rId17">
        <w:r>
          <w:rPr>
            <w:color w:val="2E74B5"/>
            <w:u w:val="single"/>
            <w:rFonts w:ascii="Calibri" w:hAnsi="Calibri"/>
            <w:sz w:val="20"/>
          </w:rPr>
          <w:t>Open in Oracle Central Confluence</w:t>
        </w:r>
      </w:hyperlink>
    </w:p>
    <w:p>
      <w:pPr>
        <w:pStyle w:val="Heading1"/>
      </w:pPr>
      <w:r>
        <w:t>Developer education, adoption, and release outreach</w:t>
      </w:r>
    </w:p>
    <w:p>
      <w:pPr>
        <w:pStyle w:val="ListBullet"/>
        <w:spacing w:after="40"/>
      </w:pPr>
      <w:r>
        <w:rPr>
          <w:rFonts w:ascii="Calibri" w:hAnsi="Calibri"/>
          <w:b/>
          <w:color w:val="0B2545"/>
          <w:sz w:val="22"/>
        </w:rPr>
        <w:t xml:space="preserve">Blogs (Published and Archived): </w:t>
      </w:r>
      <w:r>
        <w:rPr>
          <w:rFonts w:ascii="Calibri" w:hAnsi="Calibri"/>
          <w:sz w:val="22"/>
        </w:rPr>
        <w:t>Published Oracle Developers articles, including Spring Boot/UCP and JDBC/UCP release material.</w:t>
      </w:r>
    </w:p>
    <w:p>
      <w:pPr>
        <w:spacing w:before="20" w:after="180" w:line="264" w:lineRule="auto"/>
      </w:pPr>
      <w:hyperlink r:id="rId18">
        <w:r>
          <w:rPr>
            <w:color w:val="2E74B5"/>
            <w:u w:val="single"/>
            <w:rFonts w:ascii="Calibri" w:hAnsi="Calibri"/>
            <w:sz w:val="20"/>
          </w:rPr>
          <w:t>Open in Oracle Central Confluence</w:t>
        </w:r>
      </w:hyperlink>
      <w:r>
        <w:rPr>
          <w:rFonts w:ascii="Calibri" w:hAnsi="Calibri"/>
          <w:i/>
          <w:color w:val="5B6573"/>
          <w:sz w:val="18"/>
        </w:rPr>
        <w:t xml:space="preserve">  |  Oracle Internal</w:t>
      </w:r>
    </w:p>
    <w:p>
      <w:pPr>
        <w:pStyle w:val="ListBullet"/>
        <w:spacing w:after="40"/>
      </w:pPr>
      <w:r>
        <w:rPr>
          <w:rFonts w:ascii="Calibri" w:hAnsi="Calibri"/>
          <w:b/>
          <w:color w:val="0B2545"/>
          <w:sz w:val="22"/>
        </w:rPr>
        <w:t xml:space="preserve">Java/JDBC Blog &amp; Technical Papers: </w:t>
      </w:r>
      <w:r>
        <w:rPr>
          <w:rFonts w:ascii="Calibri" w:hAnsi="Calibri"/>
          <w:sz w:val="22"/>
        </w:rPr>
        <w:t>Planned technical content on Application Continuity, JDBC use cases, and Spring Boot with sharded databases.</w:t>
      </w:r>
    </w:p>
    <w:p>
      <w:pPr>
        <w:spacing w:before="20" w:after="180" w:line="264" w:lineRule="auto"/>
      </w:pPr>
      <w:hyperlink r:id="rId19">
        <w:r>
          <w:rPr>
            <w:color w:val="2E74B5"/>
            <w:u w:val="single"/>
            <w:rFonts w:ascii="Calibri" w:hAnsi="Calibri"/>
            <w:sz w:val="20"/>
          </w:rPr>
          <w:t>Open in Oracle Central Confluence</w:t>
        </w:r>
      </w:hyperlink>
      <w:r>
        <w:rPr>
          <w:rFonts w:ascii="Calibri" w:hAnsi="Calibri"/>
          <w:i/>
          <w:color w:val="5B6573"/>
          <w:sz w:val="18"/>
        </w:rPr>
        <w:t xml:space="preserve">  |  Oracle Internal</w:t>
      </w:r>
    </w:p>
    <w:p>
      <w:pPr>
        <w:pStyle w:val="ListBullet"/>
        <w:spacing w:after="40"/>
      </w:pPr>
      <w:r>
        <w:rPr>
          <w:rFonts w:ascii="Calibri" w:hAnsi="Calibri"/>
          <w:b/>
          <w:color w:val="0B2545"/>
          <w:sz w:val="22"/>
        </w:rPr>
        <w:t xml:space="preserve">DB 23ai Features Release Plan: </w:t>
      </w:r>
      <w:r>
        <w:rPr>
          <w:rFonts w:ascii="Calibri" w:hAnsi="Calibri"/>
          <w:sz w:val="22"/>
        </w:rPr>
        <w:t>Code samples, blogs, and videos for JDBC/UCP capabilities.</w:t>
      </w:r>
    </w:p>
    <w:p>
      <w:pPr>
        <w:spacing w:before="20" w:after="180" w:line="264" w:lineRule="auto"/>
      </w:pPr>
      <w:hyperlink r:id="rId20">
        <w:r>
          <w:rPr>
            <w:color w:val="2E74B5"/>
            <w:u w:val="single"/>
            <w:rFonts w:ascii="Calibri" w:hAnsi="Calibri"/>
            <w:sz w:val="20"/>
          </w:rPr>
          <w:t>Open in Oracle Central Confluence</w:t>
        </w:r>
      </w:hyperlink>
      <w:r>
        <w:rPr>
          <w:rFonts w:ascii="Calibri" w:hAnsi="Calibri"/>
          <w:i/>
          <w:color w:val="5B6573"/>
          <w:sz w:val="18"/>
        </w:rPr>
        <w:t xml:space="preserve">  |  Oracle Internal</w:t>
      </w:r>
    </w:p>
    <w:p>
      <w:pPr>
        <w:pStyle w:val="ListBullet"/>
        <w:spacing w:after="40"/>
      </w:pPr>
      <w:r>
        <w:rPr>
          <w:rFonts w:ascii="Calibri" w:hAnsi="Calibri"/>
          <w:b/>
          <w:color w:val="0B2545"/>
          <w:sz w:val="22"/>
        </w:rPr>
        <w:t xml:space="preserve">Social media outreach: </w:t>
      </w:r>
      <w:r>
        <w:rPr>
          <w:rFonts w:ascii="Calibri" w:hAnsi="Calibri"/>
          <w:sz w:val="22"/>
        </w:rPr>
        <w:t>JDBC tips and community posts for the Java Oracle Database audience.</w:t>
      </w:r>
    </w:p>
    <w:p>
      <w:pPr>
        <w:spacing w:before="20" w:after="180" w:line="264" w:lineRule="auto"/>
      </w:pPr>
      <w:hyperlink r:id="rId21">
        <w:r>
          <w:rPr>
            <w:color w:val="2E74B5"/>
            <w:u w:val="single"/>
            <w:rFonts w:ascii="Calibri" w:hAnsi="Calibri"/>
            <w:sz w:val="20"/>
          </w:rPr>
          <w:t>Open in Oracle Central Confluence</w:t>
        </w:r>
      </w:hyperlink>
      <w:r>
        <w:rPr>
          <w:rFonts w:ascii="Calibri" w:hAnsi="Calibri"/>
          <w:i/>
          <w:color w:val="5B6573"/>
          <w:sz w:val="18"/>
        </w:rPr>
        <w:t xml:space="preserve">  |  Oracle Internal</w:t>
      </w:r>
    </w:p>
    <w:p>
      <w:pPr>
        <w:pStyle w:val="ListBullet"/>
        <w:spacing w:after="40"/>
      </w:pPr>
      <w:r>
        <w:rPr>
          <w:rFonts w:ascii="Calibri" w:hAnsi="Calibri"/>
          <w:b/>
          <w:color w:val="0B2545"/>
          <w:sz w:val="22"/>
        </w:rPr>
        <w:t xml:space="preserve">Release Links and Release Checklist: </w:t>
      </w:r>
      <w:r>
        <w:rPr>
          <w:rFonts w:ascii="Calibri" w:hAnsi="Calibri"/>
          <w:sz w:val="22"/>
        </w:rPr>
        <w:t>Developer-consumable release work: FAQ, Maven Central, OTN videos and technical briefs, and release messaging.</w:t>
      </w:r>
    </w:p>
    <w:p>
      <w:pPr>
        <w:spacing w:before="20" w:after="180" w:line="264" w:lineRule="auto"/>
      </w:pPr>
      <w:hyperlink r:id="rId22">
        <w:r>
          <w:rPr>
            <w:color w:val="2E74B5"/>
            <w:u w:val="single"/>
            <w:rFonts w:ascii="Calibri" w:hAnsi="Calibri"/>
            <w:sz w:val="20"/>
          </w:rPr>
          <w:t>Open in Oracle Central Confluence</w:t>
        </w:r>
      </w:hyperlink>
    </w:p>
    <w:p>
      <w:pPr>
        <w:pStyle w:val="ListBullet"/>
        <w:spacing w:after="40"/>
      </w:pPr>
      <w:r>
        <w:rPr>
          <w:rFonts w:ascii="Calibri" w:hAnsi="Calibri"/>
          <w:b/>
          <w:color w:val="0B2545"/>
          <w:sz w:val="22"/>
        </w:rPr>
        <w:t xml:space="preserve">Developer-awareness profile: </w:t>
      </w:r>
      <w:r>
        <w:rPr>
          <w:rFonts w:ascii="Calibri" w:hAnsi="Calibri"/>
          <w:sz w:val="22"/>
        </w:rPr>
        <w:t>Describes Nirmala’s role in customer feature adoption and her blogs, briefs, videos, and articles for the Java community.</w:t>
      </w:r>
    </w:p>
    <w:p>
      <w:pPr>
        <w:spacing w:before="20" w:after="180" w:line="264" w:lineRule="auto"/>
      </w:pPr>
      <w:hyperlink r:id="rId23">
        <w:r>
          <w:rPr>
            <w:color w:val="2E74B5"/>
            <w:u w:val="single"/>
            <w:rFonts w:ascii="Calibri" w:hAnsi="Calibri"/>
            <w:sz w:val="20"/>
          </w:rPr>
          <w:t>Open in Oracle Central Confluence</w:t>
        </w:r>
      </w:hyperlink>
      <w:r>
        <w:rPr>
          <w:rFonts w:ascii="Calibri" w:hAnsi="Calibri"/>
          <w:i/>
          <w:color w:val="5B6573"/>
          <w:sz w:val="18"/>
        </w:rPr>
        <w:t xml:space="preserve">  |  Oracle Internal</w:t>
      </w:r>
    </w:p>
    <w:p>
      <w:pPr>
        <w:pStyle w:val="Heading1"/>
      </w:pPr>
      <w:r>
        <w:t>Supporting planning and references</w:t>
      </w:r>
    </w:p>
    <w:p>
      <w:pPr>
        <w:pStyle w:val="ListBullet"/>
        <w:spacing w:after="40"/>
      </w:pPr>
      <w:r>
        <w:rPr>
          <w:rFonts w:ascii="Calibri" w:hAnsi="Calibri"/>
          <w:b/>
          <w:color w:val="0B2545"/>
          <w:sz w:val="22"/>
        </w:rPr>
        <w:t xml:space="preserve">O.com Migration — Website Builder: </w:t>
      </w:r>
      <w:r>
        <w:rPr>
          <w:rFonts w:ascii="Calibri" w:hAnsi="Calibri"/>
          <w:sz w:val="22"/>
        </w:rPr>
        <w:t>AppDev and website-migration ownership reference.</w:t>
      </w:r>
    </w:p>
    <w:p>
      <w:pPr>
        <w:spacing w:before="20" w:after="180" w:line="264" w:lineRule="auto"/>
      </w:pPr>
      <w:hyperlink r:id="rId24">
        <w:r>
          <w:rPr>
            <w:color w:val="2E74B5"/>
            <w:u w:val="single"/>
            <w:rFonts w:ascii="Calibri" w:hAnsi="Calibri"/>
            <w:sz w:val="20"/>
          </w:rPr>
          <w:t>Open in Oracle Central Confluence</w:t>
        </w:r>
      </w:hyperlink>
      <w:r>
        <w:rPr>
          <w:rFonts w:ascii="Calibri" w:hAnsi="Calibri"/>
          <w:i/>
          <w:color w:val="5B6573"/>
          <w:sz w:val="18"/>
        </w:rPr>
        <w:t xml:space="preserve">  |  Oracle Restricted</w:t>
      </w:r>
    </w:p>
    <w:p>
      <w:pPr>
        <w:pStyle w:val="ListBullet"/>
        <w:spacing w:after="40"/>
      </w:pPr>
      <w:r>
        <w:rPr>
          <w:rFonts w:ascii="Calibri" w:hAnsi="Calibri"/>
          <w:b/>
          <w:color w:val="0B2545"/>
          <w:sz w:val="22"/>
        </w:rPr>
        <w:t xml:space="preserve">List of Oracle IDE Plugins: </w:t>
      </w:r>
      <w:r>
        <w:rPr>
          <w:rFonts w:ascii="Calibri" w:hAnsi="Calibri"/>
          <w:sz w:val="22"/>
        </w:rPr>
        <w:t>Developer-tooling reference naming Nirmala and Kuassi.</w:t>
      </w:r>
    </w:p>
    <w:p>
      <w:pPr>
        <w:spacing w:before="20" w:after="180" w:line="264" w:lineRule="auto"/>
      </w:pPr>
      <w:hyperlink r:id="rId25">
        <w:r>
          <w:rPr>
            <w:color w:val="2E74B5"/>
            <w:u w:val="single"/>
            <w:rFonts w:ascii="Calibri" w:hAnsi="Calibri"/>
            <w:sz w:val="20"/>
          </w:rPr>
          <w:t>Open in Oracle Central Confluence</w:t>
        </w:r>
      </w:hyperlink>
    </w:p>
    <w:p>
      <w:pPr>
        <w:pStyle w:val="ListBullet"/>
        <w:spacing w:after="40"/>
      </w:pPr>
      <w:r>
        <w:rPr>
          <w:rFonts w:ascii="Calibri" w:hAnsi="Calibri"/>
          <w:b/>
          <w:color w:val="0B2545"/>
          <w:sz w:val="22"/>
        </w:rPr>
        <w:t xml:space="preserve">2025 DBJava team notes: </w:t>
      </w:r>
      <w:r>
        <w:rPr>
          <w:rFonts w:ascii="Calibri" w:hAnsi="Calibri"/>
          <w:sz w:val="22"/>
        </w:rPr>
        <w:t>Names Nirmala as the product-management contact for JDBC questions.</w:t>
      </w:r>
    </w:p>
    <w:p>
      <w:pPr>
        <w:spacing w:before="20" w:after="180" w:line="264" w:lineRule="auto"/>
      </w:pPr>
      <w:hyperlink r:id="rId26">
        <w:r>
          <w:rPr>
            <w:color w:val="2E74B5"/>
            <w:u w:val="single"/>
            <w:rFonts w:ascii="Calibri" w:hAnsi="Calibri"/>
            <w:sz w:val="20"/>
          </w:rPr>
          <w:t>Open in Oracle Central Confluence</w:t>
        </w:r>
      </w:hyperlink>
      <w:r>
        <w:rPr>
          <w:rFonts w:ascii="Calibri" w:hAnsi="Calibri"/>
          <w:i/>
          <w:color w:val="5B6573"/>
          <w:sz w:val="18"/>
        </w:rPr>
        <w:t xml:space="preserve">  |  Oracle Internal</w:t>
      </w:r>
    </w:p>
    <w:p>
      <w:pPr>
        <w:pStyle w:val="ListBullet"/>
        <w:spacing w:after="40"/>
      </w:pPr>
      <w:r>
        <w:rPr>
          <w:rFonts w:ascii="Calibri" w:hAnsi="Calibri"/>
          <w:b/>
          <w:color w:val="0B2545"/>
          <w:sz w:val="22"/>
        </w:rPr>
        <w:t xml:space="preserve">2 Day + Java Developer’s Guide planning: </w:t>
      </w:r>
      <w:r>
        <w:rPr>
          <w:rFonts w:ascii="Calibri" w:hAnsi="Calibri"/>
          <w:sz w:val="22"/>
        </w:rPr>
        <w:t>Early Java documentation planning that includes customer-feedback and CAB work with Nirmala and Kuassi.</w:t>
      </w:r>
    </w:p>
    <w:p>
      <w:pPr>
        <w:spacing w:before="20" w:after="180" w:line="264" w:lineRule="auto"/>
      </w:pPr>
      <w:hyperlink r:id="rId27">
        <w:r>
          <w:rPr>
            <w:color w:val="2E74B5"/>
            <w:u w:val="single"/>
            <w:rFonts w:ascii="Calibri" w:hAnsi="Calibri"/>
            <w:sz w:val="20"/>
          </w:rPr>
          <w:t>Open in Oracle Central Confluence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B6573"/>
        <w:sz w:val="16"/>
      </w:rPr>
      <w:t>Prioritized project and activity inventory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B6573"/>
        <w:sz w:val="16"/>
      </w:rPr>
      <w:t>ORACLE CENTRAL CONFLUENCE  |  RESEARCH SUMMARY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iorityItem">
    <w:name w:val="Priority Item"/>
    <w:pPr>
      <w:spacing w:before="160" w:after="4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onfluence.oraclecorp.com/confluence/pages/viewpage.action?pageId=10868324790" TargetMode="External"/><Relationship Id="rId12" Type="http://schemas.openxmlformats.org/officeDocument/2006/relationships/hyperlink" Target="https://confluence.oraclecorp.com/confluence/pages/viewpage.action?pageId=2888149037" TargetMode="External"/><Relationship Id="rId13" Type="http://schemas.openxmlformats.org/officeDocument/2006/relationships/hyperlink" Target="https://confluence.oraclecorp.com/confluence/pages/viewpage.action?pageId=18841075375" TargetMode="External"/><Relationship Id="rId14" Type="http://schemas.openxmlformats.org/officeDocument/2006/relationships/hyperlink" Target="https://confluence.oraclecorp.com/confluence/pages/viewpage.action?pageId=2501857606" TargetMode="External"/><Relationship Id="rId15" Type="http://schemas.openxmlformats.org/officeDocument/2006/relationships/hyperlink" Target="https://confluence.oraclecorp.com/confluence/pages/viewpage.action?pageId=11125798812" TargetMode="External"/><Relationship Id="rId16" Type="http://schemas.openxmlformats.org/officeDocument/2006/relationships/hyperlink" Target="https://confluence.oraclecorp.com/confluence/pages/viewpage.action?pageId=3587125186" TargetMode="External"/><Relationship Id="rId17" Type="http://schemas.openxmlformats.org/officeDocument/2006/relationships/hyperlink" Target="https://confluence.oraclecorp.com/confluence/pages/viewpage.action?pageId=4358375569" TargetMode="External"/><Relationship Id="rId18" Type="http://schemas.openxmlformats.org/officeDocument/2006/relationships/hyperlink" Target="https://confluence.oraclecorp.com/confluence/pages/viewpage.action?pageId=4434833845" TargetMode="External"/><Relationship Id="rId19" Type="http://schemas.openxmlformats.org/officeDocument/2006/relationships/hyperlink" Target="https://confluence.oraclecorp.com/confluence/pages/viewpage.action?pageId=4181406268" TargetMode="External"/><Relationship Id="rId20" Type="http://schemas.openxmlformats.org/officeDocument/2006/relationships/hyperlink" Target="https://confluence.oraclecorp.com/confluence/pages/viewpage.action?pageId=7517661524" TargetMode="External"/><Relationship Id="rId21" Type="http://schemas.openxmlformats.org/officeDocument/2006/relationships/hyperlink" Target="https://confluence.oraclecorp.com/confluence/pages/viewpage.action?pageId=11139758233" TargetMode="External"/><Relationship Id="rId22" Type="http://schemas.openxmlformats.org/officeDocument/2006/relationships/hyperlink" Target="https://confluence.oraclecorp.com/confluence/pages/viewpage.action?pageId=2730559358" TargetMode="External"/><Relationship Id="rId23" Type="http://schemas.openxmlformats.org/officeDocument/2006/relationships/hyperlink" Target="https://confluence.oraclecorp.com/confluence/pages/viewpage.action?pageId=5939958479" TargetMode="External"/><Relationship Id="rId24" Type="http://schemas.openxmlformats.org/officeDocument/2006/relationships/hyperlink" Target="https://confluence.oraclecorp.com/confluence/pages/viewpage.action?pageId=18176513324" TargetMode="External"/><Relationship Id="rId25" Type="http://schemas.openxmlformats.org/officeDocument/2006/relationships/hyperlink" Target="https://confluence.oraclecorp.com/confluence/pages/viewpage.action?pageId=13035787410" TargetMode="External"/><Relationship Id="rId26" Type="http://schemas.openxmlformats.org/officeDocument/2006/relationships/hyperlink" Target="https://confluence.oraclecorp.com/confluence/pages/viewpage.action?pageId=13103301280" TargetMode="External"/><Relationship Id="rId27" Type="http://schemas.openxmlformats.org/officeDocument/2006/relationships/hyperlink" Target="https://confluence.oraclecorp.com/confluence/pages/viewpage.action?pageId=24182204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