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40"/>
        </w:rPr>
        <w:t>MASTER SUPPLY AGREEMENT</w:t>
      </w:r>
    </w:p>
    <w:p>
      <w:pPr>
        <w:jc w:val="center"/>
      </w:pPr>
      <w:r>
        <w:rPr>
          <w:b/>
          <w:sz w:val="22"/>
        </w:rPr>
        <w:t>Contract C-2291 - Excerpt for AP Demo</w:t>
      </w:r>
    </w:p>
    <w:tbl>
      <w:tblPr>
        <w:tblW w:type="auto" w:w="0"/>
        <w:jc w:val="center"/>
        <w:tblLayout w:type="fixed"/>
        <w:tblLook w:firstColumn="1" w:firstRow="1" w:lastColumn="0" w:lastRow="0" w:noHBand="0" w:noVBand="1" w:val="04A0"/>
      </w:tblPr>
      <w:tblGrid>
        <w:gridCol w:w="5112"/>
        <w:gridCol w:w="5112"/>
      </w:tblGrid>
      <w:tr>
        <w:tc>
          <w:tcPr>
            <w:tcW w:type="dxa" w:w="2448"/>
            <w:shd w:fill="DCE6F1"/>
            <w:tcMar>
              <w:top w:w="90" w:type="dxa"/>
              <w:start w:w="90" w:type="dxa"/>
              <w:bottom w:w="90" w:type="dxa"/>
              <w:end w:w="90" w:type="dxa"/>
            </w:tcMar>
            <w:vAlign w:val="center"/>
          </w:tcPr>
          <w:p>
            <w:r>
              <w:rPr>
                <w:b/>
              </w:rPr>
              <w:t>Buyer</w:t>
            </w:r>
          </w:p>
        </w:tc>
        <w:tc>
          <w:tcPr>
            <w:tcW w:type="dxa" w:w="7056"/>
            <w:tcMar>
              <w:top w:w="90" w:type="dxa"/>
              <w:start w:w="90" w:type="dxa"/>
              <w:bottom w:w="90" w:type="dxa"/>
              <w:end w:w="90" w:type="dxa"/>
            </w:tcMar>
            <w:vAlign w:val="center"/>
          </w:tcPr>
          <w:p>
            <w:r>
              <w:t>Acme Data Systems</w:t>
            </w:r>
          </w:p>
        </w:tc>
      </w:tr>
      <w:tr>
        <w:tc>
          <w:tcPr>
            <w:tcW w:type="dxa" w:w="2448"/>
            <w:shd w:fill="DCE6F1"/>
            <w:tcMar>
              <w:top w:w="90" w:type="dxa"/>
              <w:start w:w="90" w:type="dxa"/>
              <w:bottom w:w="90" w:type="dxa"/>
              <w:end w:w="90" w:type="dxa"/>
            </w:tcMar>
            <w:vAlign w:val="center"/>
          </w:tcPr>
          <w:p>
            <w:r>
              <w:rPr>
                <w:b/>
              </w:rPr>
              <w:t>Supplier</w:t>
            </w:r>
          </w:p>
        </w:tc>
        <w:tc>
          <w:tcPr>
            <w:tcW w:type="dxa" w:w="7056"/>
            <w:tcMar>
              <w:top w:w="90" w:type="dxa"/>
              <w:start w:w="90" w:type="dxa"/>
              <w:bottom w:w="90" w:type="dxa"/>
              <w:end w:w="90" w:type="dxa"/>
            </w:tcMar>
            <w:vAlign w:val="center"/>
          </w:tcPr>
          <w:p>
            <w:r>
              <w:t>Northstar Network Systems LLC</w:t>
            </w:r>
          </w:p>
        </w:tc>
      </w:tr>
      <w:tr>
        <w:tc>
          <w:tcPr>
            <w:tcW w:type="dxa" w:w="2448"/>
            <w:shd w:fill="DCE6F1"/>
            <w:tcMar>
              <w:top w:w="90" w:type="dxa"/>
              <w:start w:w="90" w:type="dxa"/>
              <w:bottom w:w="90" w:type="dxa"/>
              <w:end w:w="90" w:type="dxa"/>
            </w:tcMar>
            <w:vAlign w:val="center"/>
          </w:tcPr>
          <w:p>
            <w:r>
              <w:rPr>
                <w:b/>
              </w:rPr>
              <w:t>Effective date</w:t>
            </w:r>
          </w:p>
        </w:tc>
        <w:tc>
          <w:tcPr>
            <w:tcW w:type="dxa" w:w="7056"/>
            <w:tcMar>
              <w:top w:w="90" w:type="dxa"/>
              <w:start w:w="90" w:type="dxa"/>
              <w:bottom w:w="90" w:type="dxa"/>
              <w:end w:w="90" w:type="dxa"/>
            </w:tcMar>
            <w:vAlign w:val="center"/>
          </w:tcPr>
          <w:p>
            <w:r>
              <w:t>January 1, 2026</w:t>
            </w:r>
          </w:p>
        </w:tc>
      </w:tr>
    </w:tbl>
    <w:p/>
    <w:p>
      <w:r>
        <w:rPr>
          <w:b/>
          <w:color w:val="17365D"/>
          <w:sz w:val="26"/>
        </w:rPr>
        <w:t>7.2 Freight and Delivery Charges</w:t>
      </w:r>
    </w:p>
    <w:p>
      <w:r>
        <w:t>Supplier may invoice actual third-party freight separately from the purchase-order line value when the shipment is delivered in full and the freight charge does not exceed USD 1,000 for the purchase order. The invoice must identify the freight charge separately.</w:t>
      </w:r>
    </w:p>
    <w:p>
      <w:r>
        <w:rPr>
          <w:b/>
          <w:color w:val="17365D"/>
          <w:sz w:val="26"/>
        </w:rPr>
        <w:t>7.3 Receiving Requirement</w:t>
      </w:r>
    </w:p>
    <w:p>
      <w:r>
        <w:t>Payment approval remains subject to confirmation that the goods or services covered by the purchase order have been received. Partial receipts may be held or routed for review under the buyer's accounts-payable policy.</w:t>
      </w:r>
    </w:p>
    <w:p>
      <w:r>
        <w:rPr>
          <w:b/>
          <w:color w:val="17365D"/>
          <w:sz w:val="26"/>
        </w:rPr>
        <w:t>12.4 Supplier Payment Detail Changes</w:t>
      </w:r>
    </w:p>
    <w:p>
      <w:r>
        <w:t>Changes to supplier remittance or bank details do not become effective for payment until the buyer completes its independent verification and approval process.</w:t>
      </w:r>
    </w:p>
    <w:p/>
    <w:p>
      <w:pPr>
        <w:jc w:val="center"/>
      </w:pPr>
      <w:r>
        <w:rPr>
          <w:i/>
          <w:color w:val="666666"/>
          <w:sz w:val="16"/>
        </w:rPr>
        <w:t>DEMO FIXTURE - NOT A REAL CONTRACT</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