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lektrokombinacija"/>
    <w:p>
      <w:pPr>
        <w:pStyle w:val="Heading1"/>
      </w:pPr>
      <w:r>
        <w:t xml:space="preserve">ELEKTROKOMBINACIJA</w:t>
      </w:r>
    </w:p>
    <w:bookmarkStart w:id="9" w:name="X1ddda43b34afd363c4997f92c616e9442e53736"/>
    <w:p>
      <w:pPr>
        <w:pStyle w:val="Heading2"/>
      </w:pPr>
      <w:r>
        <w:t xml:space="preserve">Open-Source Coordination for European EV Infrastructure</w:t>
      </w:r>
    </w:p>
    <w:p>
      <w:r>
        <w:pict>
          <v:rect style="width:0;height:1.5pt" o:hralign="center" o:hrstd="t" o:hr="t"/>
        </w:pict>
      </w:r>
    </w:p>
    <w:bookmarkEnd w:id="9"/>
    <w:bookmarkStart w:id="10" w:name="the-opportunity"/>
    <w:p>
      <w:pPr>
        <w:pStyle w:val="Heading2"/>
      </w:pPr>
      <w:r>
        <w:t xml:space="preserve">THE OPPORTUNITY</w:t>
      </w:r>
    </w:p>
    <w:p>
      <w:pPr>
        <w:pStyle w:val="FirstParagraph"/>
      </w:pPr>
      <w:r>
        <w:rPr>
          <w:b/>
          <w:bCs/>
        </w:rPr>
        <w:t xml:space="preserve">EU Policy:</w:t>
      </w:r>
      <w:r>
        <w:t xml:space="preserve"> </w:t>
      </w:r>
      <w:r>
        <w:t xml:space="preserve">Zero-emission city buses by 2035 (Clean Vehicles Directive)</w:t>
      </w:r>
      <w:r>
        <w:t xml:space="preserve"> </w:t>
      </w:r>
      <w:r>
        <w:rPr>
          <w:b/>
          <w:bCs/>
        </w:rPr>
        <w:t xml:space="preserve">Current Problem:</w:t>
      </w:r>
      <w:r>
        <w:t xml:space="preserve"> </w:t>
      </w:r>
      <w:r>
        <w:t xml:space="preserve">70-85% charger uptime, proprietary vendor lock-in</w:t>
      </w:r>
      <w:r>
        <w:t xml:space="preserve"> </w:t>
      </w:r>
      <w:r>
        <w:rPr>
          <w:b/>
          <w:bCs/>
        </w:rPr>
        <w:t xml:space="preserve">European Gap:</w:t>
      </w:r>
      <w:r>
        <w:t xml:space="preserve"> </w:t>
      </w:r>
      <w:r>
        <w:t xml:space="preserve">No open standard for distributed energy coordination</w:t>
      </w:r>
    </w:p>
    <w:p>
      <w:r>
        <w:pict>
          <v:rect style="width:0;height:1.5pt" o:hralign="center" o:hrstd="t" o:hr="t"/>
        </w:pict>
      </w:r>
    </w:p>
    <w:bookmarkEnd w:id="10"/>
    <w:bookmarkStart w:id="12" w:name="the-solution"/>
    <w:p>
      <w:pPr>
        <w:pStyle w:val="Heading2"/>
      </w:pPr>
      <w:r>
        <w:t xml:space="preserve">THE SOLUTION</w:t>
      </w:r>
    </w:p>
    <w:bookmarkStart w:id="11" w:name="two-innovations"/>
    <w:p>
      <w:pPr>
        <w:pStyle w:val="Heading3"/>
      </w:pPr>
      <w:r>
        <w:t xml:space="preserve">Two Innovations:</w:t>
      </w:r>
    </w:p>
    <w:p>
      <w:pPr>
        <w:pStyle w:val="FirstParagraph"/>
      </w:pPr>
      <w:r>
        <w:rPr>
          <w:b/>
          <w:bCs/>
        </w:rPr>
        <w:t xml:space="preserve">1. EK-KOR2: Open-Source Coordination RTOS</w:t>
      </w:r>
      <w:r>
        <w:t xml:space="preserve"> </w:t>
      </w:r>
      <w:r>
        <w:t xml:space="preserve">- Potential field scheduling (no central coordinator)</w:t>
      </w:r>
      <w:r>
        <w:t xml:space="preserve"> </w:t>
      </w:r>
      <w:r>
        <w:t xml:space="preserve">- Self-organizing distributed consensus</w:t>
      </w:r>
      <w:r>
        <w:t xml:space="preserve"> </w:t>
      </w:r>
      <w:r>
        <w:t xml:space="preserve">- MIT License - European-developed</w:t>
      </w:r>
      <w:r>
        <w:t xml:space="preserve"> </w:t>
      </w:r>
      <w:r>
        <w:t xml:space="preserve">- Dual C/Rust implementation</w:t>
      </w:r>
    </w:p>
    <w:p>
      <w:pPr>
        <w:pStyle w:val="BodyText"/>
      </w:pPr>
      <w:r>
        <w:rPr>
          <w:b/>
          <w:bCs/>
        </w:rPr>
        <w:t xml:space="preserve">2. EK3: Modular Power Hardware</w:t>
      </w:r>
      <w:r>
        <w:t xml:space="preserve"> </w:t>
      </w:r>
      <w:r>
        <w:t xml:space="preserve">- 3.3 kW module, 200x320x44mm</w:t>
      </w:r>
      <w:r>
        <w:t xml:space="preserve"> </w:t>
      </w:r>
      <w:r>
        <w:t xml:space="preserve">- 900V SiC MOSFETs, LLC topology</w:t>
      </w:r>
      <w:r>
        <w:t xml:space="preserve"> </w:t>
      </w:r>
      <w:r>
        <w:t xml:space="preserve">- &gt;96% efficiency, hot-swappable</w:t>
      </w:r>
      <w:r>
        <w:t xml:space="preserve"> </w:t>
      </w:r>
      <w:r>
        <w:t xml:space="preserve">- Scales from 3kW to 3MW</w:t>
      </w:r>
    </w:p>
    <w:p>
      <w:pPr>
        <w:pStyle w:val="BodyText"/>
      </w:pPr>
      <w:r>
        <w:rPr>
          <w:b/>
          <w:bCs/>
        </w:rPr>
        <w:t xml:space="preserve">Combined:</w:t>
      </w:r>
      <w:r>
        <w:t xml:space="preserve"> </w:t>
      </w:r>
      <w:r>
        <w:t xml:space="preserve">Self-healing infrastructure - failed module detected, load redistributed, robot-swapped in 40 seconds.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eu-strategic-alignment"/>
    <w:p>
      <w:pPr>
        <w:pStyle w:val="Heading2"/>
      </w:pPr>
      <w:r>
        <w:t xml:space="preserve">EU STRATEGIC ALIGNMENT</w:t>
      </w:r>
    </w:p>
    <w:p>
      <w:pPr>
        <w:pStyle w:val="Compact"/>
        <w:numPr>
          <w:ilvl w:val="0"/>
          <w:numId w:val="1001"/>
        </w:numPr>
      </w:pPr>
      <w:r>
        <w:t xml:space="preserve">EU Open Source Software Strategy</w:t>
      </w:r>
    </w:p>
    <w:p>
      <w:pPr>
        <w:pStyle w:val="Compact"/>
        <w:numPr>
          <w:ilvl w:val="0"/>
          <w:numId w:val="1001"/>
        </w:numPr>
      </w:pPr>
      <w:r>
        <w:t xml:space="preserve">GAIA-X digital sovereignty</w:t>
      </w:r>
    </w:p>
    <w:p>
      <w:pPr>
        <w:pStyle w:val="Compact"/>
        <w:numPr>
          <w:ilvl w:val="0"/>
          <w:numId w:val="1001"/>
        </w:numPr>
      </w:pPr>
      <w:r>
        <w:t xml:space="preserve">Horizon Europe Cluster 5</w:t>
      </w:r>
    </w:p>
    <w:p>
      <w:pPr>
        <w:pStyle w:val="Compact"/>
        <w:numPr>
          <w:ilvl w:val="0"/>
          <w:numId w:val="1001"/>
        </w:numPr>
      </w:pPr>
      <w:r>
        <w:t xml:space="preserve">Clean Vehicles Directive</w:t>
      </w:r>
    </w:p>
    <w:p>
      <w:pPr>
        <w:pStyle w:val="Compact"/>
        <w:numPr>
          <w:ilvl w:val="0"/>
          <w:numId w:val="1001"/>
        </w:numPr>
      </w:pPr>
      <w:r>
        <w:t xml:space="preserve">AFIR infrastructure regulation</w:t>
      </w:r>
    </w:p>
    <w:p>
      <w:r>
        <w:pict>
          <v:rect style="width:0;height:1.5pt" o:hralign="center" o:hrstd="t" o:hr="t"/>
        </w:pict>
      </w:r>
    </w:p>
    <w:bookmarkEnd w:id="13"/>
    <w:bookmarkStart w:id="14" w:name="market"/>
    <w:p>
      <w:pPr>
        <w:pStyle w:val="Heading2"/>
      </w:pPr>
      <w:r>
        <w:t xml:space="preserve">MARKET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EUR 100B+ (EU bus electrification)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EUR 10B (charging infrastructure)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</w:t>
            </w:r>
          </w:p>
        </w:tc>
        <w:tc>
          <w:tcPr/>
          <w:p>
            <w:pPr>
              <w:pStyle w:val="Compact"/>
            </w:pPr>
            <w:r>
              <w:t xml:space="preserve">EUR 500M (reliability layer)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Entry:</w:t>
      </w:r>
      <w:r>
        <w:t xml:space="preserve"> </w:t>
      </w:r>
      <w:r>
        <w:t xml:space="preserve">Serbia → Western Balkans → Central Europe → EU-wide</w:t>
      </w:r>
    </w:p>
    <w:p>
      <w:r>
        <w:pict>
          <v:rect style="width:0;height:1.5pt" o:hralign="center" o:hrstd="t" o:hr="t"/>
        </w:pict>
      </w:r>
    </w:p>
    <w:bookmarkEnd w:id="14"/>
    <w:bookmarkStart w:id="15" w:name="technology-status"/>
    <w:p>
      <w:pPr>
        <w:pStyle w:val="Heading2"/>
      </w:pPr>
      <w:r>
        <w:t xml:space="preserve">TECHNOLOGY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EK-KOR2 RTOS</w:t>
            </w:r>
          </w:p>
        </w:tc>
        <w:tc>
          <w:tcPr/>
          <w:p>
            <w:pPr>
              <w:pStyle w:val="Compact"/>
            </w:pPr>
            <w:r>
              <w:t xml:space="preserve">Working C implementation, 22 tests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EK3 Hardware</w:t>
            </w:r>
          </w:p>
        </w:tc>
        <w:tc>
          <w:tcPr/>
          <w:p>
            <w:pPr>
              <w:pStyle w:val="Compact"/>
            </w:pPr>
            <w:r>
              <w:t xml:space="preserve">Complete design, ready for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Position</w:t>
            </w:r>
          </w:p>
        </w:tc>
        <w:tc>
          <w:tcPr/>
          <w:p>
            <w:pPr>
              <w:pStyle w:val="Compact"/>
            </w:pPr>
            <w:r>
              <w:t xml:space="preserve">5 patent concepts (WIPO PROOF Jan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OSS Release</w:t>
            </w:r>
          </w:p>
        </w:tc>
        <w:tc>
          <w:tcPr/>
          <w:p>
            <w:pPr>
              <w:pStyle w:val="Compact"/>
            </w:pPr>
            <w:r>
              <w:t xml:space="preserve">Ready upon funding (MIT License)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funding-request"/>
    <w:p>
      <w:pPr>
        <w:pStyle w:val="Heading2"/>
      </w:pPr>
      <w:r>
        <w:t xml:space="preserve">FUNDING REQUEST</w:t>
      </w:r>
    </w:p>
    <w:p>
      <w:pPr>
        <w:pStyle w:val="FirstParagraph"/>
      </w:pPr>
      <w:r>
        <w:rPr>
          <w:b/>
          <w:bCs/>
        </w:rPr>
        <w:t xml:space="preserve">Seeking:</w:t>
      </w:r>
      <w:r>
        <w:t xml:space="preserve"> </w:t>
      </w:r>
      <w:r>
        <w:t xml:space="preserve">EUR 487K pre-seed (12-month runway)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(4 people + advisors)</w:t>
            </w:r>
          </w:p>
        </w:tc>
        <w:tc>
          <w:tcPr/>
          <w:p>
            <w:pPr>
              <w:pStyle w:val="Compact"/>
            </w:pPr>
            <w:r>
              <w:t xml:space="preserve">EUR 276,000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EK-KOR2 OSS Launch</w:t>
            </w:r>
          </w:p>
        </w:tc>
        <w:tc>
          <w:tcPr/>
          <w:p>
            <w:pPr>
              <w:pStyle w:val="Compact"/>
            </w:pPr>
            <w:r>
              <w:t xml:space="preserve">EUR 35,000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EK3 Prototype (46 modules)</w:t>
            </w:r>
          </w:p>
        </w:tc>
        <w:tc>
          <w:tcPr/>
          <w:p>
            <w:pPr>
              <w:pStyle w:val="Compact"/>
            </w:pPr>
            <w:r>
              <w:t xml:space="preserve">EUR 58,000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Swap Station</w:t>
            </w:r>
          </w:p>
        </w:tc>
        <w:tc>
          <w:tcPr/>
          <w:p>
            <w:pPr>
              <w:pStyle w:val="Compact"/>
            </w:pPr>
            <w:r>
              <w:t xml:space="preserve">EUR 42,000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Pilot Deployment</w:t>
            </w:r>
          </w:p>
        </w:tc>
        <w:tc>
          <w:tcPr/>
          <w:p>
            <w:pPr>
              <w:pStyle w:val="Compact"/>
            </w:pPr>
            <w:r>
              <w:t xml:space="preserve">EUR 32,000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 Certification</w:t>
            </w:r>
          </w:p>
        </w:tc>
        <w:tc>
          <w:tcPr/>
          <w:p>
            <w:pPr>
              <w:pStyle w:val="Compact"/>
            </w:pPr>
            <w:r>
              <w:t xml:space="preserve">EUR 18,000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&amp; NL Incorporation</w:t>
            </w:r>
          </w:p>
        </w:tc>
        <w:tc>
          <w:tcPr/>
          <w:p>
            <w:pPr>
              <w:pStyle w:val="Compact"/>
            </w:pPr>
            <w:r>
              <w:t xml:space="preserve">EUR 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</w:t>
            </w:r>
          </w:p>
        </w:tc>
        <w:tc>
          <w:tcPr/>
          <w:p>
            <w:pPr>
              <w:pStyle w:val="Compact"/>
            </w:pPr>
            <w:r>
              <w:t xml:space="preserve">EUR 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 487,000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milestones"/>
    <w:p>
      <w:pPr>
        <w:pStyle w:val="Heading2"/>
      </w:pPr>
      <w:r>
        <w:t xml:space="preserve">MILESTONES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M2:</w:t>
      </w:r>
      <w:r>
        <w:t xml:space="preserve"> </w:t>
      </w:r>
      <w:r>
        <w:t xml:space="preserve">EK-KOR2 open-source launch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M4:</w:t>
      </w:r>
      <w:r>
        <w:t xml:space="preserve"> </w:t>
      </w:r>
      <w:r>
        <w:t xml:space="preserve">First EK3 modules operational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M8:</w:t>
      </w:r>
      <w:r>
        <w:t xml:space="preserve"> </w:t>
      </w:r>
      <w:r>
        <w:t xml:space="preserve">150kW pilot system complete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M12:</w:t>
      </w:r>
      <w:r>
        <w:t xml:space="preserve"> </w:t>
      </w:r>
      <w:r>
        <w:t xml:space="preserve">Pilot data → Seed round</w:t>
      </w:r>
    </w:p>
    <w:p>
      <w:r>
        <w:pict>
          <v:rect style="width:0;height:1.5pt" o:hralign="center" o:hrstd="t" o:hr="t"/>
        </w:pict>
      </w:r>
    </w:p>
    <w:bookmarkEnd w:id="17"/>
    <w:bookmarkStart w:id="18" w:name="team"/>
    <w:p>
      <w:pPr>
        <w:pStyle w:val="Heading2"/>
      </w:pPr>
      <w:r>
        <w:t xml:space="preserve">TEAM</w:t>
      </w:r>
    </w:p>
    <w:p>
      <w:pPr>
        <w:pStyle w:val="FirstParagraph"/>
      </w:pPr>
      <w:r>
        <w:rPr>
          <w:b/>
          <w:bCs/>
        </w:rPr>
        <w:t xml:space="preserve">Bojan Janjatovic - Founder &amp; CTO</w:t>
      </w:r>
      <w:r>
        <w:t xml:space="preserve"> </w:t>
      </w:r>
      <w:r>
        <w:t xml:space="preserve">- 15 years enterprise software (Toshiba, NCR Voyix)</w:t>
      </w:r>
      <w:r>
        <w:t xml:space="preserve"> </w:t>
      </w:r>
      <w:r>
        <w:t xml:space="preserve">- RTOS development (EK-KOR2, JEZGRO kernels)</w:t>
      </w:r>
      <w:r>
        <w:t xml:space="preserve"> </w:t>
      </w:r>
      <w:r>
        <w:t xml:space="preserve">- Power electronics + embedded systems</w:t>
      </w:r>
    </w:p>
    <w:p>
      <w:pPr>
        <w:pStyle w:val="BodyText"/>
      </w:pPr>
      <w:r>
        <w:rPr>
          <w:b/>
          <w:bCs/>
        </w:rPr>
        <w:t xml:space="preserve">Operations Manager (Confirmed)</w:t>
      </w:r>
      <w:r>
        <w:t xml:space="preserve"> </w:t>
      </w:r>
      <w:r>
        <w:t xml:space="preserve">- Economics BA, startup mindset</w:t>
      </w:r>
      <w:r>
        <w:t xml:space="preserve"> </w:t>
      </w:r>
      <w:r>
        <w:t xml:space="preserve">- Financial planning &amp; reporting</w:t>
      </w:r>
    </w:p>
    <w:p>
      <w:pPr>
        <w:pStyle w:val="BodyText"/>
      </w:pPr>
      <w:r>
        <w:rPr>
          <w:b/>
          <w:bCs/>
        </w:rPr>
        <w:t xml:space="preserve">Technical Advisors (In Negotiations):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Sensors &amp; Automotive (Germany)</w:t>
      </w:r>
      <w:r>
        <w:t xml:space="preserve"> </w:t>
      </w:r>
      <w:r>
        <w:t xml:space="preserve">- PhD (France), German university, automotive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Electronics (USA)</w:t>
      </w:r>
      <w:r>
        <w:t xml:space="preserve"> </w:t>
      </w:r>
      <w:r>
        <w:t xml:space="preserve">- EV industry engineer, US market</w:t>
      </w:r>
    </w:p>
    <w:p>
      <w:pPr>
        <w:pStyle w:val="BodyText"/>
      </w:pPr>
      <w:r>
        <w:rPr>
          <w:b/>
          <w:bCs/>
        </w:rPr>
        <w:t xml:space="preserve">Planned Hires:</w:t>
      </w:r>
      <w:r>
        <w:t xml:space="preserve"> </w:t>
      </w:r>
      <w:r>
        <w:t xml:space="preserve">- CEO (business, fundraising)</w:t>
      </w:r>
      <w:r>
        <w:t xml:space="preserve"> </w:t>
      </w:r>
      <w:r>
        <w:t xml:space="preserve">- Electrical Engineer (power electronics, certification)</w:t>
      </w:r>
    </w:p>
    <w:p>
      <w:r>
        <w:pict>
          <v:rect style="width:0;height:1.5pt" o:hralign="center" o:hrstd="t" o:hr="t"/>
        </w:pict>
      </w:r>
    </w:p>
    <w:bookmarkEnd w:id="18"/>
    <w:bookmarkStart w:id="19" w:name="structure"/>
    <w:p>
      <w:pPr>
        <w:pStyle w:val="Heading2"/>
      </w:pPr>
      <w:r>
        <w:t xml:space="preserve">STRUCTURE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HQ:</w:t>
      </w:r>
      <w:r>
        <w:t xml:space="preserve"> </w:t>
      </w:r>
      <w:r>
        <w:t xml:space="preserve">Elektrokombinacija B.V. (Netherlands) - Q1 2026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R&amp;D:</w:t>
      </w:r>
      <w:r>
        <w:t xml:space="preserve"> </w:t>
      </w:r>
      <w:r>
        <w:t xml:space="preserve">Serbia (cost-effective engineering)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 &amp; Commercial:</w:t>
      </w:r>
      <w:r>
        <w:t xml:space="preserve"> </w:t>
      </w:r>
      <w:r>
        <w:t xml:space="preserve">Netherlands</w:t>
      </w:r>
    </w:p>
    <w:p>
      <w:r>
        <w:pict>
          <v:rect style="width:0;height:1.5pt" o:hralign="center" o:hrstd="t" o:hr="t"/>
        </w:pict>
      </w:r>
    </w:p>
    <w:bookmarkEnd w:id="19"/>
    <w:bookmarkStart w:id="20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Bojan Janjatovic</w:t>
      </w:r>
      <w:r>
        <w:t xml:space="preserve"> </w:t>
      </w:r>
      <w:r>
        <w:t xml:space="preserve">bojan.janjatovic@gmail.com</w:t>
      </w:r>
      <w:r>
        <w:t xml:space="preserve"> </w:t>
      </w:r>
      <w:r>
        <w:t xml:space="preserve">Kikinda, Serbia → Amsterdam, Netherlands (Q1 2026)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Pre-Seed: EUR 487K | Open-Source + EU Digital Sovereignty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2026-01-12T20:24:40Z</dcterms:created>
  <dcterms:modified xsi:type="dcterms:W3CDTF">2026-01-12T20:24:40Z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