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elektrokombinacija---pitch-deck"/>
    <w:p>
      <w:pPr>
        <w:pStyle w:val="Heading1"/>
      </w:pPr>
      <w:r>
        <w:t xml:space="preserve">ELEKTROKOMBINACIJA - Pitch Deck</w:t>
      </w:r>
    </w:p>
    <w:bookmarkStart w:id="9" w:name="X1ddda43b34afd363c4997f92c616e9442e53736"/>
    <w:p>
      <w:pPr>
        <w:pStyle w:val="Heading2"/>
      </w:pPr>
      <w:r>
        <w:t xml:space="preserve">Open-Source Coordination for European EV Infrastructure</w:t>
      </w:r>
    </w:p>
    <w:p>
      <w:pPr>
        <w:pStyle w:val="FirstParagraph"/>
      </w:pPr>
      <w:r>
        <w:rPr>
          <w:i/>
          <w:iCs/>
        </w:rPr>
        <w:t xml:space="preserve">10 Slides for EIT InnoEnergy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slide-1-cover"/>
    <w:p>
      <w:pPr>
        <w:pStyle w:val="Heading1"/>
      </w:pPr>
      <w:r>
        <w:t xml:space="preserve">SLIDE 1: Cover</w:t>
      </w:r>
    </w:p>
    <w:bookmarkStart w:id="11" w:name="elektrokombinacija"/>
    <w:p>
      <w:pPr>
        <w:pStyle w:val="Heading2"/>
      </w:pPr>
      <w:r>
        <w:t xml:space="preserve">ELEKTROKOMBINACIJA</w:t>
      </w:r>
    </w:p>
    <w:p>
      <w:pPr>
        <w:pStyle w:val="FirstParagraph"/>
      </w:pPr>
      <w:r>
        <w:rPr>
          <w:b/>
          <w:bCs/>
        </w:rPr>
        <w:t xml:space="preserve">Open-Source Coordination for European EV Infrastructure</w:t>
      </w:r>
    </w:p>
    <w:p>
      <w:pPr>
        <w:pStyle w:val="BodyText"/>
      </w:pPr>
      <w:r>
        <w:t xml:space="preserve">Pre-Seed: EUR 487K</w:t>
      </w:r>
    </w:p>
    <w:p>
      <w:pPr>
        <w:pStyle w:val="BodyText"/>
      </w:pPr>
      <w:r>
        <w:t xml:space="preserve">Bojan Janjatovic | bojan.janjatovic@gmail.com</w:t>
      </w:r>
      <w:r>
        <w:t xml:space="preserve"> </w:t>
      </w:r>
      <w:r>
        <w:t xml:space="preserve">Kikinda, Serbia → Amsterdam, Netherlands (Q1 2026)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slide-2-problem"/>
    <w:p>
      <w:pPr>
        <w:pStyle w:val="Heading1"/>
      </w:pPr>
      <w:r>
        <w:t xml:space="preserve">SLIDE 2: Problem</w:t>
      </w:r>
    </w:p>
    <w:bookmarkStart w:id="15" w:name="Xb34a294c13cefad49177791670b85dedde892c5"/>
    <w:p>
      <w:pPr>
        <w:pStyle w:val="Heading2"/>
      </w:pPr>
      <w:r>
        <w:t xml:space="preserve">European EV Infrastructure Has Two Problems</w:t>
      </w:r>
    </w:p>
    <w:bookmarkStart w:id="13" w:name="reliability-crisis"/>
    <w:p>
      <w:pPr>
        <w:pStyle w:val="Heading3"/>
      </w:pPr>
      <w:r>
        <w:t xml:space="preserve">1. Reliability Crisis</w:t>
      </w:r>
    </w:p>
    <w:p>
      <w:pPr>
        <w:pStyle w:val="Compact"/>
        <w:numPr>
          <w:ilvl w:val="0"/>
          <w:numId w:val="1001"/>
        </w:numPr>
      </w:pPr>
      <w:r>
        <w:t xml:space="preserve">Current charger uptime:</w:t>
      </w:r>
      <w:r>
        <w:t xml:space="preserve"> </w:t>
      </w:r>
      <w:r>
        <w:rPr>
          <w:b/>
          <w:bCs/>
        </w:rPr>
        <w:t xml:space="preserve">70-85%</w:t>
      </w:r>
    </w:p>
    <w:p>
      <w:pPr>
        <w:pStyle w:val="Compact"/>
        <w:numPr>
          <w:ilvl w:val="0"/>
          <w:numId w:val="1001"/>
        </w:numPr>
      </w:pPr>
      <w:r>
        <w:t xml:space="preserve">Monolithic architecture = single point of failure</w:t>
      </w:r>
    </w:p>
    <w:p>
      <w:pPr>
        <w:pStyle w:val="Compact"/>
        <w:numPr>
          <w:ilvl w:val="0"/>
          <w:numId w:val="1001"/>
        </w:numPr>
      </w:pPr>
      <w:r>
        <w:t xml:space="preserve">Repair requires technician dispatch (hours to days)</w:t>
      </w:r>
    </w:p>
    <w:bookmarkEnd w:id="13"/>
    <w:bookmarkStart w:id="14" w:name="digital-sovereignty-gap"/>
    <w:p>
      <w:pPr>
        <w:pStyle w:val="Heading3"/>
      </w:pPr>
      <w:r>
        <w:t xml:space="preserve">2. Digital Sovereignty Gap</w:t>
      </w:r>
    </w:p>
    <w:p>
      <w:pPr>
        <w:pStyle w:val="Compact"/>
        <w:numPr>
          <w:ilvl w:val="0"/>
          <w:numId w:val="1002"/>
        </w:numPr>
      </w:pPr>
      <w:r>
        <w:t xml:space="preserve">EU energy infrastructure depends on</w:t>
      </w:r>
      <w:r>
        <w:t xml:space="preserve"> </w:t>
      </w:r>
      <w:r>
        <w:rPr>
          <w:b/>
          <w:bCs/>
        </w:rPr>
        <w:t xml:space="preserve">proprietary US/Asian systems</w:t>
      </w:r>
    </w:p>
    <w:p>
      <w:pPr>
        <w:pStyle w:val="Compact"/>
        <w:numPr>
          <w:ilvl w:val="0"/>
          <w:numId w:val="1002"/>
        </w:numPr>
      </w:pPr>
      <w:r>
        <w:t xml:space="preserve">No open European standard for coordination</w:t>
      </w:r>
    </w:p>
    <w:p>
      <w:pPr>
        <w:pStyle w:val="Compact"/>
        <w:numPr>
          <w:ilvl w:val="0"/>
          <w:numId w:val="1002"/>
        </w:numPr>
      </w:pPr>
      <w:r>
        <w:t xml:space="preserve">Vendor lock-in limits innovation</w:t>
      </w:r>
    </w:p>
    <w:p>
      <w:pPr>
        <w:pStyle w:val="FirstParagraph"/>
      </w:pPr>
      <w:r>
        <w:rPr>
          <w:b/>
          <w:bCs/>
        </w:rPr>
        <w:t xml:space="preserve">EU Target:</w:t>
      </w:r>
      <w:r>
        <w:t xml:space="preserve"> </w:t>
      </w:r>
      <w:r>
        <w:t xml:space="preserve">100% zero-emission city buses by 2035 (Clean Vehicles Directive)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1" w:name="slide-3-solution-overview"/>
    <w:p>
      <w:pPr>
        <w:pStyle w:val="Heading1"/>
      </w:pPr>
      <w:r>
        <w:t xml:space="preserve">SLIDE 3: Solution Overview</w:t>
      </w:r>
    </w:p>
    <w:bookmarkStart w:id="20" w:name="two-innovations-one-system"/>
    <w:p>
      <w:pPr>
        <w:pStyle w:val="Heading2"/>
      </w:pPr>
      <w:r>
        <w:t xml:space="preserve">Two Innovations, One System</w:t>
      </w:r>
    </w:p>
    <w:bookmarkStart w:id="17" w:name="ek-kor2-open-source-coordination-rtos"/>
    <w:p>
      <w:pPr>
        <w:pStyle w:val="Heading3"/>
      </w:pPr>
      <w:r>
        <w:t xml:space="preserve">EK-KOR2: Open-Source Coordination RTOS</w:t>
      </w:r>
    </w:p>
    <w:p>
      <w:pPr>
        <w:pStyle w:val="Compact"/>
        <w:numPr>
          <w:ilvl w:val="0"/>
          <w:numId w:val="1003"/>
        </w:numPr>
      </w:pPr>
      <w:r>
        <w:t xml:space="preserve">Potential field scheduling (no central coordinator)</w:t>
      </w:r>
    </w:p>
    <w:p>
      <w:pPr>
        <w:pStyle w:val="Compact"/>
        <w:numPr>
          <w:ilvl w:val="0"/>
          <w:numId w:val="1003"/>
        </w:numPr>
      </w:pPr>
      <w:r>
        <w:t xml:space="preserve">Self-organizing distributed consensus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MIT License</w:t>
      </w:r>
      <w:r>
        <w:t xml:space="preserve"> </w:t>
      </w:r>
      <w:r>
        <w:t xml:space="preserve">- European-developed</w:t>
      </w:r>
    </w:p>
    <w:bookmarkEnd w:id="17"/>
    <w:bookmarkStart w:id="18" w:name="ek3-modular-power-hardware"/>
    <w:p>
      <w:pPr>
        <w:pStyle w:val="Heading3"/>
      </w:pPr>
      <w:r>
        <w:t xml:space="preserve">EK3: Modular Power Hardware</w:t>
      </w:r>
    </w:p>
    <w:p>
      <w:pPr>
        <w:pStyle w:val="Compact"/>
        <w:numPr>
          <w:ilvl w:val="0"/>
          <w:numId w:val="1004"/>
        </w:numPr>
      </w:pPr>
      <w:r>
        <w:t xml:space="preserve">3.3 kW building blocks</w:t>
      </w:r>
    </w:p>
    <w:p>
      <w:pPr>
        <w:pStyle w:val="Compact"/>
        <w:numPr>
          <w:ilvl w:val="0"/>
          <w:numId w:val="1004"/>
        </w:numPr>
      </w:pPr>
      <w:r>
        <w:t xml:space="preserve">Hot-swappable, robot-serviceable</w:t>
      </w:r>
    </w:p>
    <w:p>
      <w:pPr>
        <w:pStyle w:val="Compact"/>
        <w:numPr>
          <w:ilvl w:val="0"/>
          <w:numId w:val="1004"/>
        </w:numPr>
      </w:pPr>
      <w:r>
        <w:t xml:space="preserve">Scales from 3kW to 3MW</w:t>
      </w:r>
    </w:p>
    <w:bookmarkEnd w:id="18"/>
    <w:bookmarkStart w:id="19" w:name="combined-result"/>
    <w:p>
      <w:pPr>
        <w:pStyle w:val="Heading3"/>
      </w:pPr>
      <w:r>
        <w:t xml:space="preserve">Combined Result:</w:t>
      </w:r>
    </w:p>
    <w:p>
      <w:pPr>
        <w:pStyle w:val="FirstParagraph"/>
      </w:pPr>
      <w:r>
        <w:rPr>
          <w:b/>
          <w:bCs/>
        </w:rPr>
        <w:t xml:space="preserve">Self-healing infrastructure</w:t>
      </w:r>
      <w:r>
        <w:t xml:space="preserve"> </w:t>
      </w:r>
      <w:r>
        <w:t xml:space="preserve">- module fails → detected → load redistributed → robot swap in 40 seconds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6" w:name="slide-4-ek-kor2-deep-dive"/>
    <w:p>
      <w:pPr>
        <w:pStyle w:val="Heading1"/>
      </w:pPr>
      <w:r>
        <w:t xml:space="preserve">SLIDE 4: EK-KOR2 Deep Dive</w:t>
      </w:r>
    </w:p>
    <w:bookmarkStart w:id="25" w:name="kubernetes-for-distributed-energy"/>
    <w:p>
      <w:pPr>
        <w:pStyle w:val="Heading2"/>
      </w:pPr>
      <w:r>
        <w:t xml:space="preserve">“Kubernetes for Distributed Energy”</w:t>
      </w:r>
    </w:p>
    <w:bookmarkStart w:id="22" w:name="key-innovations"/>
    <w:p>
      <w:pPr>
        <w:pStyle w:val="Heading3"/>
      </w:pPr>
      <w:r>
        <w:t xml:space="preserve">Key Innovations: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Potential Field Scheduling</w:t>
      </w:r>
      <w:r>
        <w:t xml:space="preserve"> </w:t>
      </w:r>
      <w:r>
        <w:t xml:space="preserve">- No central coordinator needed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Distributed Consensus</w:t>
      </w:r>
      <w:r>
        <w:t xml:space="preserve"> </w:t>
      </w:r>
      <w:r>
        <w:t xml:space="preserve">- Modules vote on system decisions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Self-Healing Topology</w:t>
      </w:r>
      <w:r>
        <w:t xml:space="preserve"> </w:t>
      </w:r>
      <w:r>
        <w:t xml:space="preserve">- Automatic mesh reformation</w:t>
      </w:r>
    </w:p>
    <w:bookmarkEnd w:id="22"/>
    <w:bookmarkStart w:id="23" w:name="implementation"/>
    <w:p>
      <w:pPr>
        <w:pStyle w:val="Heading3"/>
      </w:pPr>
      <w:r>
        <w:t xml:space="preserve">Implementation:</w:t>
      </w:r>
    </w:p>
    <w:p>
      <w:pPr>
        <w:pStyle w:val="Compact"/>
        <w:numPr>
          <w:ilvl w:val="0"/>
          <w:numId w:val="1006"/>
        </w:numPr>
      </w:pPr>
      <w:r>
        <w:t xml:space="preserve">Dual C/Rust implementations (cross-validated)</w:t>
      </w:r>
    </w:p>
    <w:p>
      <w:pPr>
        <w:pStyle w:val="Compact"/>
        <w:numPr>
          <w:ilvl w:val="0"/>
          <w:numId w:val="1006"/>
        </w:numPr>
      </w:pPr>
      <w:r>
        <w:t xml:space="preserve">22 test vectors passing</w:t>
      </w:r>
    </w:p>
    <w:p>
      <w:pPr>
        <w:pStyle w:val="Compact"/>
        <w:numPr>
          <w:ilvl w:val="0"/>
          <w:numId w:val="1006"/>
        </w:numPr>
      </w:pPr>
      <w:r>
        <w:t xml:space="preserve">Ready for MIT License release upon funding</w:t>
      </w:r>
    </w:p>
    <w:bookmarkEnd w:id="23"/>
    <w:bookmarkStart w:id="24" w:name="why-open-source"/>
    <w:p>
      <w:pPr>
        <w:pStyle w:val="Heading3"/>
      </w:pPr>
      <w:r>
        <w:t xml:space="preserve">Why Open-Source?</w:t>
      </w:r>
    </w:p>
    <w:p>
      <w:pPr>
        <w:pStyle w:val="Compact"/>
        <w:numPr>
          <w:ilvl w:val="0"/>
          <w:numId w:val="1007"/>
        </w:numPr>
      </w:pPr>
      <w:r>
        <w:t xml:space="preserve">European digital sovereignty</w:t>
      </w:r>
    </w:p>
    <w:p>
      <w:pPr>
        <w:pStyle w:val="Compact"/>
        <w:numPr>
          <w:ilvl w:val="0"/>
          <w:numId w:val="1007"/>
        </w:numPr>
      </w:pPr>
      <w:r>
        <w:t xml:space="preserve">Community-driven innovation</w:t>
      </w:r>
    </w:p>
    <w:p>
      <w:pPr>
        <w:pStyle w:val="Compact"/>
        <w:numPr>
          <w:ilvl w:val="0"/>
          <w:numId w:val="1007"/>
        </w:numPr>
      </w:pPr>
      <w:r>
        <w:t xml:space="preserve">Standard creation moat</w:t>
      </w:r>
    </w:p>
    <w:p>
      <w:pPr>
        <w:pStyle w:val="Compact"/>
        <w:numPr>
          <w:ilvl w:val="0"/>
          <w:numId w:val="1007"/>
        </w:numPr>
      </w:pPr>
      <w:r>
        <w:t xml:space="preserve">No vendor lock-in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9" w:name="slide-5-ek3-hardware"/>
    <w:p>
      <w:pPr>
        <w:pStyle w:val="Heading1"/>
      </w:pPr>
      <w:r>
        <w:t xml:space="preserve">SLIDE 5: EK3 Hardware</w:t>
      </w:r>
    </w:p>
    <w:bookmarkStart w:id="28" w:name="modular-power-building-blocks"/>
    <w:p>
      <w:pPr>
        <w:pStyle w:val="Heading2"/>
      </w:pPr>
      <w:r>
        <w:t xml:space="preserve">Modular Power Building Blocks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3.3 kW 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200 x 320 x 44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&gt;96%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Switches</w:t>
            </w:r>
          </w:p>
        </w:tc>
        <w:tc>
          <w:tcPr/>
          <w:p>
            <w:pPr>
              <w:pStyle w:val="Compact"/>
            </w:pPr>
            <w:r>
              <w:t xml:space="preserve">900V SiC MOSFETs (Wolfspeed)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LLC Resonant DC-DC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STM32G474 (EU: STMicroelectronics)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CAN-FD @ 5 Mbps</w:t>
            </w:r>
          </w:p>
        </w:tc>
      </w:tr>
    </w:tbl>
    <w:bookmarkStart w:id="27" w:name="scaling"/>
    <w:p>
      <w:pPr>
        <w:pStyle w:val="Heading3"/>
      </w:pPr>
      <w:r>
        <w:t xml:space="preserve">Scaling:</w:t>
      </w:r>
    </w:p>
    <w:p>
      <w:pPr>
        <w:pStyle w:val="Compact"/>
        <w:numPr>
          <w:ilvl w:val="0"/>
          <w:numId w:val="1008"/>
        </w:numPr>
      </w:pPr>
      <w:r>
        <w:t xml:space="preserve">1 module = 3.3 kW (e-bike)</w:t>
      </w:r>
    </w:p>
    <w:p>
      <w:pPr>
        <w:pStyle w:val="Compact"/>
        <w:numPr>
          <w:ilvl w:val="0"/>
          <w:numId w:val="1008"/>
        </w:numPr>
      </w:pPr>
      <w:r>
        <w:t xml:space="preserve">46 modules = 150 kW (fast charger)</w:t>
      </w:r>
    </w:p>
    <w:p>
      <w:pPr>
        <w:pStyle w:val="Compact"/>
        <w:numPr>
          <w:ilvl w:val="0"/>
          <w:numId w:val="1008"/>
        </w:numPr>
      </w:pPr>
      <w:r>
        <w:t xml:space="preserve">303 modules = 1 MW (depot)</w:t>
      </w:r>
    </w:p>
    <w:p>
      <w:pPr>
        <w:pStyle w:val="Compact"/>
        <w:numPr>
          <w:ilvl w:val="0"/>
          <w:numId w:val="1008"/>
        </w:numPr>
      </w:pPr>
      <w:r>
        <w:t xml:space="preserve">909 modules = 3 MW (MCS truck)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slide-6-eu-strategic-alignment"/>
    <w:p>
      <w:pPr>
        <w:pStyle w:val="Heading1"/>
      </w:pPr>
      <w:r>
        <w:t xml:space="preserve">SLIDE 6: EU Strategic Alignment</w:t>
      </w:r>
    </w:p>
    <w:bookmarkStart w:id="31" w:name="built-for-european-policy"/>
    <w:p>
      <w:pPr>
        <w:pStyle w:val="Heading2"/>
      </w:pPr>
      <w:r>
        <w:t xml:space="preserve">Built for European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EU Initiative</w:t>
            </w:r>
          </w:p>
        </w:tc>
        <w:tc>
          <w:tcPr/>
          <w:p>
            <w:pPr>
              <w:pStyle w:val="Compact"/>
            </w:pPr>
            <w:r>
              <w:t xml:space="preserve">Our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Open Source Strategy</w:t>
            </w:r>
          </w:p>
        </w:tc>
        <w:tc>
          <w:tcPr/>
          <w:p>
            <w:pPr>
              <w:pStyle w:val="Compact"/>
            </w:pPr>
            <w:r>
              <w:t xml:space="preserve">EK-KOR2 MIT 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GAIA-X</w:t>
            </w:r>
          </w:p>
        </w:tc>
        <w:tc>
          <w:tcPr/>
          <w:p>
            <w:pPr>
              <w:pStyle w:val="Compact"/>
            </w:pPr>
            <w:r>
              <w:t xml:space="preserve">Open infrastructure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Europe Cluster 5</w:t>
            </w:r>
          </w:p>
        </w:tc>
        <w:tc>
          <w:tcPr/>
          <w:p>
            <w:pPr>
              <w:pStyle w:val="Compact"/>
            </w:pPr>
            <w:r>
              <w:t xml:space="preserve">Energy coordination 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Vehicles Directive</w:t>
            </w:r>
          </w:p>
        </w:tc>
        <w:tc>
          <w:tcPr/>
          <w:p>
            <w:pPr>
              <w:pStyle w:val="Compact"/>
            </w:pPr>
            <w:r>
              <w:t xml:space="preserve">Bus fleet electrification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AFIR Regulation</w:t>
            </w:r>
          </w:p>
        </w:tc>
        <w:tc>
          <w:tcPr/>
          <w:p>
            <w:pPr>
              <w:pStyle w:val="Compact"/>
            </w:pPr>
            <w:r>
              <w:t xml:space="preserve">Charging infrastructure</w:t>
            </w:r>
          </w:p>
        </w:tc>
      </w:tr>
    </w:tbl>
    <w:bookmarkStart w:id="30" w:name="Xe063a9a0c9eb24f0f310ca15f08426432164437"/>
    <w:p>
      <w:pPr>
        <w:pStyle w:val="Heading3"/>
      </w:pPr>
      <w:r>
        <w:t xml:space="preserve">“European Technology for European Infrastructure”</w:t>
      </w:r>
    </w:p>
    <w:p>
      <w:pPr>
        <w:pStyle w:val="Compact"/>
        <w:numPr>
          <w:ilvl w:val="0"/>
          <w:numId w:val="1009"/>
        </w:numPr>
      </w:pPr>
      <w:r>
        <w:t xml:space="preserve">Developed in Serbia (EU candidate)</w:t>
      </w:r>
    </w:p>
    <w:p>
      <w:pPr>
        <w:pStyle w:val="Compact"/>
        <w:numPr>
          <w:ilvl w:val="0"/>
          <w:numId w:val="1009"/>
        </w:numPr>
      </w:pPr>
      <w:r>
        <w:t xml:space="preserve">HQ in Netherlands (EU)</w:t>
      </w:r>
    </w:p>
    <w:p>
      <w:pPr>
        <w:pStyle w:val="Compact"/>
        <w:numPr>
          <w:ilvl w:val="0"/>
          <w:numId w:val="1009"/>
        </w:numPr>
      </w:pPr>
      <w:r>
        <w:t xml:space="preserve">Manufacturing potential in EU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slide-7-why-open-source-works"/>
    <w:p>
      <w:pPr>
        <w:pStyle w:val="Heading1"/>
      </w:pPr>
      <w:r>
        <w:t xml:space="preserve">SLIDE 7: Why Open-Source Works</w:t>
      </w:r>
    </w:p>
    <w:bookmarkStart w:id="35" w:name="proven-model-new-domain"/>
    <w:p>
      <w:pPr>
        <w:pStyle w:val="Heading2"/>
      </w:pPr>
      <w:r>
        <w:t xml:space="preserve">Proven Model, New Domain</w:t>
      </w:r>
    </w:p>
    <w:bookmarkStart w:id="33" w:name="precedents"/>
    <w:p>
      <w:pPr>
        <w:pStyle w:val="Heading3"/>
      </w:pPr>
      <w:r>
        <w:t xml:space="preserve">Precedents: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Open-Source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Servers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Red Hat = EUR 34B acquisition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70% market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EK-KOR2</w:t>
            </w:r>
          </w:p>
        </w:tc>
        <w:tc>
          <w:tcPr/>
          <w:p>
            <w:pPr>
              <w:pStyle w:val="Compact"/>
            </w:pPr>
            <w:r>
              <w:t xml:space="preserve">EU coordination standard?</w:t>
            </w:r>
          </w:p>
        </w:tc>
      </w:tr>
    </w:tbl>
    <w:bookmarkEnd w:id="33"/>
    <w:bookmarkStart w:id="34" w:name="benefits"/>
    <w:p>
      <w:pPr>
        <w:pStyle w:val="Heading3"/>
      </w:pPr>
      <w:r>
        <w:t xml:space="preserve">Benefits:</w:t>
      </w:r>
    </w:p>
    <w:p>
      <w:pPr>
        <w:pStyle w:val="Compact"/>
        <w:numPr>
          <w:ilvl w:val="0"/>
          <w:numId w:val="1010"/>
        </w:numPr>
      </w:pPr>
      <w:r>
        <w:t xml:space="preserve">No vendor lock-in for customers</w:t>
      </w:r>
    </w:p>
    <w:p>
      <w:pPr>
        <w:pStyle w:val="Compact"/>
        <w:numPr>
          <w:ilvl w:val="0"/>
          <w:numId w:val="1010"/>
        </w:numPr>
      </w:pPr>
      <w:r>
        <w:t xml:space="preserve">Community-driven innovation</w:t>
      </w:r>
    </w:p>
    <w:p>
      <w:pPr>
        <w:pStyle w:val="Compact"/>
        <w:numPr>
          <w:ilvl w:val="0"/>
          <w:numId w:val="1010"/>
        </w:numPr>
      </w:pPr>
      <w:r>
        <w:t xml:space="preserve">Attracts European talent</w:t>
      </w:r>
    </w:p>
    <w:p>
      <w:pPr>
        <w:pStyle w:val="Compact"/>
        <w:numPr>
          <w:ilvl w:val="0"/>
          <w:numId w:val="1010"/>
        </w:numPr>
      </w:pPr>
      <w:r>
        <w:t xml:space="preserve">Creates standard = creates moat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slide-8-market-competition"/>
    <w:p>
      <w:pPr>
        <w:pStyle w:val="Heading1"/>
      </w:pPr>
      <w:r>
        <w:t xml:space="preserve">SLIDE 8: Market &amp; Competition</w:t>
      </w:r>
    </w:p>
    <w:bookmarkStart w:id="38" w:name="eur-100b-opportunity"/>
    <w:p>
      <w:pPr>
        <w:pStyle w:val="Heading2"/>
      </w:pPr>
      <w:r>
        <w:t xml:space="preserve">EUR 100B+ Opportunity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EUR 100B+ (EU bus electrification by 2035)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EUR 10B (charging infrastructure)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</w:t>
            </w:r>
          </w:p>
        </w:tc>
        <w:tc>
          <w:tcPr/>
          <w:p>
            <w:pPr>
              <w:pStyle w:val="Compact"/>
            </w:pPr>
            <w:r>
              <w:t xml:space="preserve">EUR 500M (reliability/coordination layer)</w:t>
            </w:r>
          </w:p>
        </w:tc>
      </w:tr>
    </w:tbl>
    <w:bookmarkStart w:id="37" w:name="competitive-comparison"/>
    <w:p>
      <w:pPr>
        <w:pStyle w:val="Heading3"/>
      </w:pPr>
      <w:r>
        <w:t xml:space="preserve">Competitive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ABB/Siemens</w:t>
            </w:r>
          </w:p>
        </w:tc>
        <w:tc>
          <w:tcPr/>
          <w:p>
            <w:pPr>
              <w:pStyle w:val="Compact"/>
            </w:pPr>
            <w:r>
              <w:t xml:space="preserve">Elektrokombinacija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Coordination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Open-source (MIT)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Monolithic</w:t>
            </w:r>
          </w:p>
        </w:tc>
        <w:tc>
          <w:tcPr/>
          <w:p>
            <w:pPr>
              <w:pStyle w:val="Compact"/>
            </w:pPr>
            <w:r>
              <w:t xml:space="preserve">Modular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time</w:t>
            </w:r>
          </w:p>
        </w:tc>
        <w:tc>
          <w:tcPr/>
          <w:p>
            <w:pPr>
              <w:pStyle w:val="Compact"/>
            </w:pPr>
            <w:r>
              <w:t xml:space="preserve">Hours-days</w:t>
            </w:r>
          </w:p>
        </w:tc>
        <w:tc>
          <w:tcPr/>
          <w:p>
            <w:pPr>
              <w:pStyle w:val="Compact"/>
            </w:pPr>
            <w:r>
              <w:t xml:space="preserve">40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lock-in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sovereignty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slide-9-traction-team"/>
    <w:p>
      <w:pPr>
        <w:pStyle w:val="Heading1"/>
      </w:pPr>
      <w:r>
        <w:t xml:space="preserve">SLIDE 9: Traction &amp; Team</w:t>
      </w:r>
    </w:p>
    <w:bookmarkStart w:id="42" w:name="technical-validation-complete"/>
    <w:p>
      <w:pPr>
        <w:pStyle w:val="Heading2"/>
      </w:pPr>
      <w:r>
        <w:t xml:space="preserve">Technical Validation Complete</w:t>
      </w:r>
    </w:p>
    <w:bookmarkStart w:id="40" w:name="traction"/>
    <w:p>
      <w:pPr>
        <w:pStyle w:val="Heading3"/>
      </w:pPr>
      <w:r>
        <w:t xml:space="preserve">Traction:</w:t>
      </w:r>
    </w:p>
    <w:p>
      <w:pPr>
        <w:pStyle w:val="Compact"/>
        <w:numPr>
          <w:ilvl w:val="0"/>
          <w:numId w:val="1011"/>
        </w:numPr>
      </w:pPr>
      <w:r>
        <w:t xml:space="preserve">EK-KOR2: Working C implementation, 22 tests passing</w:t>
      </w:r>
    </w:p>
    <w:p>
      <w:pPr>
        <w:pStyle w:val="Compact"/>
        <w:numPr>
          <w:ilvl w:val="0"/>
          <w:numId w:val="1011"/>
        </w:numPr>
      </w:pPr>
      <w:r>
        <w:t xml:space="preserve">EK3: Complete design specifications</w:t>
      </w:r>
    </w:p>
    <w:p>
      <w:pPr>
        <w:pStyle w:val="Compact"/>
        <w:numPr>
          <w:ilvl w:val="0"/>
          <w:numId w:val="1011"/>
        </w:numPr>
      </w:pPr>
      <w:r>
        <w:t xml:space="preserve">5 patent concepts (WIPO PROOF January 2026)</w:t>
      </w:r>
    </w:p>
    <w:p>
      <w:pPr>
        <w:pStyle w:val="Compact"/>
        <w:numPr>
          <w:ilvl w:val="0"/>
          <w:numId w:val="1011"/>
        </w:numPr>
      </w:pPr>
      <w:r>
        <w:t xml:space="preserve">Ready for open-source launch upon funding</w:t>
      </w:r>
    </w:p>
    <w:bookmarkEnd w:id="40"/>
    <w:bookmarkStart w:id="41" w:name="team"/>
    <w:p>
      <w:pPr>
        <w:pStyle w:val="Heading3"/>
      </w:pPr>
      <w:r>
        <w:t xml:space="preserve">Team:</w:t>
      </w:r>
    </w:p>
    <w:p>
      <w:pPr>
        <w:pStyle w:val="FirstParagraph"/>
      </w:pPr>
      <w:r>
        <w:rPr>
          <w:b/>
          <w:bCs/>
        </w:rPr>
        <w:t xml:space="preserve">Bojan Janjatovic - Founder &amp; CTO</w:t>
      </w:r>
      <w:r>
        <w:t xml:space="preserve"> </w:t>
      </w:r>
      <w:r>
        <w:t xml:space="preserve">- 15 years enterprise software (Toshiba, NCR Voyix)</w:t>
      </w:r>
      <w:r>
        <w:t xml:space="preserve"> </w:t>
      </w:r>
      <w:r>
        <w:t xml:space="preserve">- RTOS development (EK-KOR2, JEZGRO)</w:t>
      </w:r>
      <w:r>
        <w:t xml:space="preserve"> </w:t>
      </w:r>
      <w:r>
        <w:t xml:space="preserve">- Power electronics + embedded systems</w:t>
      </w:r>
    </w:p>
    <w:p>
      <w:pPr>
        <w:pStyle w:val="BodyText"/>
      </w:pPr>
      <w:r>
        <w:rPr>
          <w:b/>
          <w:bCs/>
        </w:rPr>
        <w:t xml:space="preserve">Operations Manager (Confirmed)</w:t>
      </w:r>
      <w:r>
        <w:t xml:space="preserve"> </w:t>
      </w:r>
      <w:r>
        <w:t xml:space="preserve">- Economics BA, financial planning &amp; reporting</w:t>
      </w:r>
    </w:p>
    <w:p>
      <w:pPr>
        <w:pStyle w:val="BodyText"/>
      </w:pPr>
      <w:r>
        <w:rPr>
          <w:b/>
          <w:bCs/>
        </w:rPr>
        <w:t xml:space="preserve">Technical Advisors (In Negotiations):</w:t>
      </w:r>
      <w:r>
        <w:t xml:space="preserve"> </w:t>
      </w:r>
      <w:r>
        <w:t xml:space="preserve">- Sensors &amp; Automotive (Germany) - PhD, German university, automotive</w:t>
      </w:r>
      <w:r>
        <w:t xml:space="preserve"> </w:t>
      </w:r>
      <w:r>
        <w:t xml:space="preserve">- Power Electronics (USA) - EV industry engineer, US market</w:t>
      </w:r>
    </w:p>
    <w:p>
      <w:pPr>
        <w:pStyle w:val="BodyText"/>
      </w:pPr>
      <w:r>
        <w:rPr>
          <w:b/>
          <w:bCs/>
        </w:rPr>
        <w:t xml:space="preserve">Planned Hires:</w:t>
      </w:r>
      <w:r>
        <w:t xml:space="preserve"> </w:t>
      </w:r>
      <w:r>
        <w:t xml:space="preserve">- CEO - Business, fundraising, partnerships</w:t>
      </w:r>
      <w:r>
        <w:t xml:space="preserve"> </w:t>
      </w:r>
      <w:r>
        <w:t xml:space="preserve">- Electrical Engineer - Power electronics, CE certification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8" w:name="slide-10-the-ask"/>
    <w:p>
      <w:pPr>
        <w:pStyle w:val="Heading1"/>
      </w:pPr>
      <w:r>
        <w:t xml:space="preserve">SLIDE 10: The Ask</w:t>
      </w:r>
    </w:p>
    <w:bookmarkStart w:id="47" w:name="eur-487k-pre-seed"/>
    <w:p>
      <w:pPr>
        <w:pStyle w:val="Heading2"/>
      </w:pPr>
      <w:r>
        <w:t xml:space="preserve">EUR 487K Pre-Seed</w:t>
      </w:r>
    </w:p>
    <w:bookmarkStart w:id="44" w:name="use-of-funds"/>
    <w:p>
      <w:pPr>
        <w:pStyle w:val="Heading3"/>
      </w:pPr>
      <w:r>
        <w:t xml:space="preserve">Use of Funds: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(12 months)</w:t>
            </w:r>
          </w:p>
        </w:tc>
        <w:tc>
          <w:tcPr/>
          <w:p>
            <w:pPr>
              <w:pStyle w:val="Compact"/>
            </w:pPr>
            <w:r>
              <w:t xml:space="preserve">EUR 276K</w:t>
            </w:r>
          </w:p>
        </w:tc>
        <w:tc>
          <w:tcPr/>
          <w:p>
            <w:pPr>
              <w:pStyle w:val="Compact"/>
            </w:pPr>
            <w:r>
              <w:t xml:space="preserve">CTO, CEO, EE, Ops, Advisors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EK-KOR2 OSS Launch</w:t>
            </w:r>
          </w:p>
        </w:tc>
        <w:tc>
          <w:tcPr/>
          <w:p>
            <w:pPr>
              <w:pStyle w:val="Compact"/>
            </w:pPr>
            <w:r>
              <w:t xml:space="preserve">EUR 35K</w:t>
            </w:r>
          </w:p>
        </w:tc>
        <w:tc>
          <w:tcPr/>
          <w:p>
            <w:pPr>
              <w:pStyle w:val="Compact"/>
            </w:pPr>
            <w:r>
              <w:t xml:space="preserve">Docs, CI/CD,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EK3 Prototype</w:t>
            </w:r>
          </w:p>
        </w:tc>
        <w:tc>
          <w:tcPr/>
          <w:p>
            <w:pPr>
              <w:pStyle w:val="Compact"/>
            </w:pPr>
            <w:r>
              <w:t xml:space="preserve">EUR 58K</w:t>
            </w:r>
          </w:p>
        </w:tc>
        <w:tc>
          <w:tcPr/>
          <w:p>
            <w:pPr>
              <w:pStyle w:val="Compact"/>
            </w:pPr>
            <w:r>
              <w:t xml:space="preserve">46 modules (150kW)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Station</w:t>
            </w:r>
          </w:p>
        </w:tc>
        <w:tc>
          <w:tcPr/>
          <w:p>
            <w:pPr>
              <w:pStyle w:val="Compact"/>
            </w:pPr>
            <w:r>
              <w:t xml:space="preserve">EUR 42K</w:t>
            </w:r>
          </w:p>
        </w:tc>
        <w:tc>
          <w:tcPr/>
          <w:p>
            <w:pPr>
              <w:pStyle w:val="Compact"/>
            </w:pPr>
            <w:r>
              <w:t xml:space="preserve">Swap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Pilot</w:t>
            </w:r>
          </w:p>
        </w:tc>
        <w:tc>
          <w:tcPr/>
          <w:p>
            <w:pPr>
              <w:pStyle w:val="Compact"/>
            </w:pPr>
            <w:r>
              <w:t xml:space="preserve">EUR 32K</w:t>
            </w:r>
          </w:p>
        </w:tc>
        <w:tc>
          <w:tcPr/>
          <w:p>
            <w:pPr>
              <w:pStyle w:val="Compact"/>
            </w:pPr>
            <w:r>
              <w:t xml:space="preserve">Transit operator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 Certification</w:t>
            </w:r>
          </w:p>
        </w:tc>
        <w:tc>
          <w:tcPr/>
          <w:p>
            <w:pPr>
              <w:pStyle w:val="Compact"/>
            </w:pPr>
            <w:r>
              <w:t xml:space="preserve">EUR 18K</w:t>
            </w:r>
          </w:p>
        </w:tc>
        <w:tc>
          <w:tcPr/>
          <w:p>
            <w:pPr>
              <w:pStyle w:val="Compact"/>
            </w:pPr>
            <w:r>
              <w:t xml:space="preserve">EMC, safety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Legal/NL Inc.</w:t>
            </w:r>
          </w:p>
        </w:tc>
        <w:tc>
          <w:tcPr/>
          <w:p>
            <w:pPr>
              <w:pStyle w:val="Compact"/>
            </w:pPr>
            <w:r>
              <w:t xml:space="preserve">EUR 6K</w:t>
            </w:r>
          </w:p>
        </w:tc>
        <w:tc>
          <w:tcPr/>
          <w:p>
            <w:pPr>
              <w:pStyle w:val="Compact"/>
            </w:pPr>
            <w:r>
              <w:t xml:space="preserve">B.V.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</w:t>
            </w:r>
          </w:p>
        </w:tc>
        <w:tc>
          <w:tcPr/>
          <w:p>
            <w:pPr>
              <w:pStyle w:val="Compact"/>
            </w:pPr>
            <w:r>
              <w:t xml:space="preserve">EUR 20K</w:t>
            </w:r>
          </w:p>
        </w:tc>
        <w:tc>
          <w:tcPr/>
          <w:p>
            <w:pPr>
              <w:pStyle w:val="Compact"/>
            </w:pPr>
            <w:r>
              <w:t xml:space="preserve">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 487K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milestones"/>
    <w:p>
      <w:pPr>
        <w:pStyle w:val="Heading3"/>
      </w:pPr>
      <w:r>
        <w:t xml:space="preserve">Milestones: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M2:</w:t>
      </w:r>
      <w:r>
        <w:t xml:space="preserve"> </w:t>
      </w:r>
      <w:r>
        <w:t xml:space="preserve">Open-source launch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M8:</w:t>
      </w:r>
      <w:r>
        <w:t xml:space="preserve"> </w:t>
      </w:r>
      <w:r>
        <w:t xml:space="preserve">150kW pilot operational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M12:</w:t>
      </w:r>
      <w:r>
        <w:t xml:space="preserve"> </w:t>
      </w:r>
      <w:r>
        <w:t xml:space="preserve">Seed round</w:t>
      </w:r>
    </w:p>
    <w:bookmarkEnd w:id="45"/>
    <w:bookmarkStart w:id="46" w:name="contact"/>
    <w:p>
      <w:pPr>
        <w:pStyle w:val="Heading3"/>
      </w:pPr>
      <w:r>
        <w:t xml:space="preserve">Contact:</w:t>
      </w:r>
    </w:p>
    <w:p>
      <w:pPr>
        <w:pStyle w:val="FirstParagraph"/>
      </w:pPr>
      <w:r>
        <w:t xml:space="preserve">bojan.janjatovic@gmail.com | Netherlands B.V. Q1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ELEKTROKOMBINACIJA - Open-Source Coordination for European EV Infrastructure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2026-01-12T20:24:40Z</dcterms:created>
  <dcterms:modified xsi:type="dcterms:W3CDTF">2026-01-12T20:24:40Z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