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a0540dbcd5e4e58871809566bda5b00a95aaa81"/>
    <w:p>
      <w:pPr>
        <w:pStyle w:val="Heading1"/>
      </w:pPr>
      <w:r>
        <w:t xml:space="preserve">Side Project Disclosure: Elektrokombinacija</w:t>
      </w:r>
    </w:p>
    <w:p>
      <w:pPr>
        <w:pStyle w:val="BlockText"/>
      </w:pPr>
      <w:r>
        <w:rPr>
          <w:b/>
          <w:bCs/>
        </w:rPr>
        <w:t xml:space="preserve">Purpose</w:t>
      </w:r>
      <w:r>
        <w:t xml:space="preserve">: Transparency about a personal side project</w:t>
      </w:r>
      <w:r>
        <w:t xml:space="preserve"> </w:t>
      </w:r>
      <w:r>
        <w:rPr>
          <w:b/>
          <w:bCs/>
        </w:rPr>
        <w:t xml:space="preserve">From</w:t>
      </w:r>
      <w:r>
        <w:t xml:space="preserve">: [Your Name]</w:t>
      </w:r>
      <w:r>
        <w:t xml:space="preserve"> </w:t>
      </w:r>
      <w:r>
        <w:rPr>
          <w:b/>
          <w:bCs/>
        </w:rPr>
        <w:t xml:space="preserve">Date</w:t>
      </w:r>
      <w:r>
        <w:t xml:space="preserve">: January 2026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I’m working on a side project - modular EV charging system. I wanted you to be aware of it because I prefer to be transparent. The project is unrelated to NCR Voyix, developed in my personal time on personal equipment.</w:t>
      </w:r>
    </w:p>
    <w:p>
      <w:r>
        <w:pict>
          <v:rect style="width:0;height:1.5pt" o:hralign="center" o:hrstd="t" o:hr="t"/>
        </w:pict>
      </w:r>
    </w:p>
    <w:bookmarkEnd w:id="9"/>
    <w:bookmarkStart w:id="10" w:name="what-is-ek3"/>
    <w:p>
      <w:pPr>
        <w:pStyle w:val="Heading2"/>
      </w:pPr>
      <w:r>
        <w:t xml:space="preserve">What is EK3</w:t>
      </w:r>
    </w:p>
    <w:p>
      <w:pPr>
        <w:pStyle w:val="FirstParagraph"/>
      </w:pPr>
      <w:r>
        <w:t xml:space="preserve">A 3.3 kW power electronics module designed to be combined in arbitrary quantities for any power level (3 kW to 3 MW). The key innovation is</w:t>
      </w:r>
      <w:r>
        <w:t xml:space="preserve"> </w:t>
      </w:r>
      <w:r>
        <w:rPr>
          <w:b/>
          <w:bCs/>
        </w:rPr>
        <w:t xml:space="preserve">distributed coordination</w:t>
      </w:r>
      <w:r>
        <w:t xml:space="preserve"> </w:t>
      </w:r>
      <w:r>
        <w:t xml:space="preserve">- no central controller, modules self-organize like a swarm.</w:t>
      </w:r>
    </w:p>
    <w:p>
      <w:pPr>
        <w:pStyle w:val="BodyText"/>
      </w:pPr>
      <w:r>
        <w:rPr>
          <w:b/>
          <w:bCs/>
        </w:rPr>
        <w:t xml:space="preserve">Key specs:</w:t>
      </w:r>
      <w:r>
        <w:t xml:space="preserve"> </w:t>
      </w:r>
      <w:r>
        <w:t xml:space="preserve">3.3 kW per module, 200-920 VDC output, LLC resonant topology, STM32G474 controller, CAN-FD communication at 5 Mbps.</w:t>
      </w:r>
    </w:p>
    <w:p>
      <w:r>
        <w:pict>
          <v:rect style="width:0;height:1.5pt" o:hralign="center" o:hrstd="t" o:hr="t"/>
        </w:pict>
      </w:r>
    </w:p>
    <w:bookmarkEnd w:id="10"/>
    <w:bookmarkStart w:id="15" w:name="core-concepts"/>
    <w:p>
      <w:pPr>
        <w:pStyle w:val="Heading2"/>
      </w:pPr>
      <w:r>
        <w:t xml:space="preserve">Core Concepts</w:t>
      </w:r>
    </w:p>
    <w:bookmarkStart w:id="11" w:name="extreme-modularity"/>
    <w:p>
      <w:pPr>
        <w:pStyle w:val="Heading3"/>
      </w:pPr>
      <w:r>
        <w:t xml:space="preserve">1. Extreme Modularity</w:t>
      </w:r>
    </w:p>
    <w:p>
      <w:pPr>
        <w:pStyle w:val="FirstParagraph"/>
      </w:pPr>
      <w:r>
        <w:t xml:space="preserve">Instead of building different chargers for different power levels, one universal 3.3 kW module scales to any application: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Modules</w:t>
            </w:r>
          </w:p>
        </w:tc>
        <w:tc>
          <w:tcPr/>
          <w:p>
            <w:pPr>
              <w:pStyle w:val="Compac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 charger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23 kW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 fast charger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150 kW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 depot</w:t>
            </w:r>
          </w:p>
        </w:tc>
        <w:tc>
          <w:tcPr/>
          <w:p>
            <w:pPr>
              <w:pStyle w:val="Compact"/>
            </w:pPr>
            <w:r>
              <w:t xml:space="preserve">152</w:t>
            </w:r>
          </w:p>
        </w:tc>
        <w:tc>
          <w:tcPr/>
          <w:p>
            <w:pPr>
              <w:pStyle w:val="Compact"/>
            </w:pPr>
            <w:r>
              <w:t xml:space="preserve">500 kW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MCS truck charging</w:t>
            </w:r>
          </w:p>
        </w:tc>
        <w:tc>
          <w:tcPr/>
          <w:p>
            <w:pPr>
              <w:pStyle w:val="Compact"/>
            </w:pPr>
            <w:r>
              <w:t xml:space="preserve">909</w:t>
            </w:r>
          </w:p>
        </w:tc>
        <w:tc>
          <w:tcPr/>
          <w:p>
            <w:pPr>
              <w:pStyle w:val="Compact"/>
            </w:pPr>
            <w:r>
              <w:t xml:space="preserve">3 MW</w:t>
            </w:r>
          </w:p>
        </w:tc>
      </w:tr>
    </w:tbl>
    <w:bookmarkEnd w:id="11"/>
    <w:bookmarkStart w:id="12" w:name="distributed-intelligence-roj"/>
    <w:p>
      <w:pPr>
        <w:pStyle w:val="Heading3"/>
      </w:pPr>
      <w:r>
        <w:t xml:space="preserve">2. Distributed Intelligence (ROJ)</w:t>
      </w:r>
    </w:p>
    <w:p>
      <w:pPr>
        <w:pStyle w:val="FirstParagraph"/>
      </w:pPr>
      <w:r>
        <w:t xml:space="preserve">“ROJ”</w:t>
      </w:r>
      <w:r>
        <w:t xml:space="preserve"> </w:t>
      </w:r>
      <w:r>
        <w:t xml:space="preserve">= Serbian for</w:t>
      </w:r>
      <w:r>
        <w:t xml:space="preserve"> </w:t>
      </w:r>
      <w:r>
        <w:t xml:space="preserve">“swarm”</w:t>
      </w:r>
      <w:r>
        <w:t xml:space="preserve">. Modules coordinate peer-to-peer using a Raft-inspired consensus protocol: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central controller</w:t>
      </w:r>
      <w:r>
        <w:t xml:space="preserve"> </w:t>
      </w:r>
      <w:r>
        <w:t xml:space="preserve">- any module can lead a charging session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Self-healing</w:t>
      </w:r>
      <w:r>
        <w:t xml:space="preserve"> </w:t>
      </w:r>
      <w:r>
        <w:t xml:space="preserve">- if a module fails, others automatically rebalance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Leader election</w:t>
      </w:r>
      <w:r>
        <w:t xml:space="preserve"> </w:t>
      </w:r>
      <w:r>
        <w:t xml:space="preserve">- modules vote to coordinate, any module can take over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Fault tolerance</w:t>
      </w:r>
      <w:r>
        <w:t xml:space="preserve"> </w:t>
      </w:r>
      <w:r>
        <w:t xml:space="preserve">- system continues operating with failed modules</w:t>
      </w:r>
    </w:p>
    <w:bookmarkEnd w:id="12"/>
    <w:bookmarkStart w:id="13" w:name="parallel-c-rust-development"/>
    <w:p>
      <w:pPr>
        <w:pStyle w:val="Heading3"/>
      </w:pPr>
      <w:r>
        <w:t xml:space="preserve">3. Parallel C + Rust Development</w:t>
      </w:r>
    </w:p>
    <w:p>
      <w:pPr>
        <w:pStyle w:val="FirstParagraph"/>
      </w:pPr>
      <w:r>
        <w:t xml:space="preserve">The firmware is implemented in both C and Rust simultaneously, with shared JSON test vectors. When both implementations produce identical output, confidence is high. This caught ~15% of bugs that single-implementation testing missed.</w:t>
      </w:r>
    </w:p>
    <w:bookmarkEnd w:id="13"/>
    <w:bookmarkStart w:id="14" w:name="physics-simulation-go"/>
    <w:p>
      <w:pPr>
        <w:pStyle w:val="Heading3"/>
      </w:pPr>
      <w:r>
        <w:t xml:space="preserve">4. Physics Simulation (Go)</w:t>
      </w:r>
    </w:p>
    <w:p>
      <w:pPr>
        <w:pStyle w:val="FirstParagraph"/>
      </w:pPr>
      <w:r>
        <w:t xml:space="preserve">A separate Go-based simulator models thermal dynamics, electrical behavior, and component aging. Runs 84 virtual modules with realistic physics for system-level testing before hardware exists.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transferable-learnings-for-ncr-voyix"/>
    <w:p>
      <w:pPr>
        <w:pStyle w:val="Heading2"/>
      </w:pPr>
      <w:r>
        <w:t xml:space="preserve">Transferable Learnings for NCR Voyix</w:t>
      </w:r>
    </w:p>
    <w:p>
      <w:pPr>
        <w:pStyle w:val="FirstParagraph"/>
      </w:pPr>
      <w:r>
        <w:t xml:space="preserve">Regardless of whether this project interests NCR Voyix directly, several approaches could benefit our stack:</w:t>
      </w:r>
    </w:p>
    <w:bookmarkStart w:id="16" w:name="go-language-benefits"/>
    <w:p>
      <w:pPr>
        <w:pStyle w:val="Heading3"/>
      </w:pPr>
      <w:r>
        <w:t xml:space="preserve">Go Language Benefits</w:t>
      </w:r>
    </w:p>
    <w:p>
      <w:pPr>
        <w:pStyle w:val="FirstParagraph"/>
      </w:pPr>
      <w:r>
        <w:t xml:space="preserve">The Go simulator demonstrates why Go works well for backend services: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Explicit error handling</w:t>
      </w:r>
      <w:r>
        <w:t xml:space="preserve"> </w:t>
      </w:r>
      <w:r>
        <w:t xml:space="preserve">- no exceptions, no hidden control flow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inheritance</w:t>
      </w:r>
      <w:r>
        <w:t xml:space="preserve"> </w:t>
      </w:r>
      <w:r>
        <w:t xml:space="preserve">- no</w:t>
      </w:r>
      <w:r>
        <w:t xml:space="preserve"> </w:t>
      </w:r>
      <w:r>
        <w:t xml:space="preserve">“magic”</w:t>
      </w:r>
      <w:r>
        <w:t xml:space="preserve"> </w:t>
      </w:r>
      <w:r>
        <w:t xml:space="preserve">from parent classes, code is readable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Fast compilation</w:t>
      </w:r>
      <w:r>
        <w:t xml:space="preserve"> </w:t>
      </w:r>
      <w:r>
        <w:t xml:space="preserve">- ~2 seconds for entire project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Single binary deployment</w:t>
      </w:r>
      <w:r>
        <w:t xml:space="preserve"> </w:t>
      </w:r>
      <w:r>
        <w:t xml:space="preserve">- no runtime dependencies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Built-in race detector</w:t>
      </w:r>
      <w:r>
        <w:t xml:space="preserve"> </w:t>
      </w:r>
      <w:r>
        <w:t xml:space="preserve">- finds concurrency bugs automatically</w:t>
      </w:r>
    </w:p>
    <w:p>
      <w:pPr>
        <w:pStyle w:val="FirstParagraph"/>
      </w:pPr>
      <w:r>
        <w:rPr>
          <w:b/>
          <w:bCs/>
        </w:rPr>
        <w:t xml:space="preserve">Recommendation:</w:t>
      </w:r>
      <w:r>
        <w:t xml:space="preserve"> </w:t>
      </w:r>
      <w:r>
        <w:t xml:space="preserve">Consider Go for new microservices where explicit error handling and simple deployment matter.</w:t>
      </w:r>
    </w:p>
    <w:bookmarkEnd w:id="16"/>
    <w:bookmarkStart w:id="17" w:name="rust-for-safety-critical-code"/>
    <w:p>
      <w:pPr>
        <w:pStyle w:val="Heading3"/>
      </w:pPr>
      <w:r>
        <w:t xml:space="preserve">Rust for Safety-Critical Code</w:t>
      </w:r>
    </w:p>
    <w:p>
      <w:pPr>
        <w:pStyle w:val="FirstParagraph"/>
      </w:pPr>
      <w:r>
        <w:t xml:space="preserve">The dual C/Rust implementation shows Rust’s strengths: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Memory safety without garbage collection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null pointer dereferences</w:t>
      </w:r>
      <w:r>
        <w:t xml:space="preserve"> </w:t>
      </w:r>
      <w:r>
        <w:t xml:space="preserve">- Option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data races</w:t>
      </w:r>
      <w:r>
        <w:t xml:space="preserve"> </w:t>
      </w:r>
      <w:r>
        <w:t xml:space="preserve">- borrow checker enforces at compile time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Pattern matching</w:t>
      </w:r>
      <w:r>
        <w:t xml:space="preserve"> </w:t>
      </w:r>
      <w:r>
        <w:t xml:space="preserve">- forces handling all cases</w:t>
      </w:r>
    </w:p>
    <w:p>
      <w:pPr>
        <w:pStyle w:val="FirstParagraph"/>
      </w:pPr>
      <w:r>
        <w:rPr>
          <w:b/>
          <w:bCs/>
        </w:rPr>
        <w:t xml:space="preserve">Recommendation:</w:t>
      </w:r>
      <w:r>
        <w:t xml:space="preserve"> </w:t>
      </w:r>
      <w:r>
        <w:t xml:space="preserve">Consider Rust for security-critical parsers, payment processing, or performance-critical paths where C would normally be used.</w:t>
      </w:r>
    </w:p>
    <w:bookmarkEnd w:id="17"/>
    <w:bookmarkStart w:id="18" w:name="agentic-ai-development-workflow"/>
    <w:p>
      <w:pPr>
        <w:pStyle w:val="Heading3"/>
      </w:pPr>
      <w:r>
        <w:t xml:space="preserve">Agentic AI Development Workflow</w:t>
      </w:r>
    </w:p>
    <w:p>
      <w:pPr>
        <w:pStyle w:val="FirstParagraph"/>
      </w:pPr>
      <w:r>
        <w:rPr>
          <w:b/>
          <w:bCs/>
        </w:rPr>
        <w:t xml:space="preserve">This entire project was developed in</w:t>
      </w:r>
      <w:r>
        <w:rPr>
          <w:b/>
          <w:bCs/>
        </w:rPr>
        <w:t xml:space="preserve"> </w:t>
      </w:r>
      <w:r>
        <w:rPr>
          <w:b/>
          <w:bCs/>
        </w:rPr>
        <w:t xml:space="preserve">“extreme agentic mode”</w:t>
      </w:r>
      <w:r>
        <w:t xml:space="preserve"> </w:t>
      </w:r>
      <w:r>
        <w:t xml:space="preserve">using Claude Opus 4.5 with custom orchestration: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14 custom skills</w:t>
      </w:r>
      <w:r>
        <w:t xml:space="preserve"> </w:t>
      </w:r>
      <w:r>
        <w:t xml:space="preserve">for domain-specific workflows (power calculations, thermal analysis, patent drafting)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200+ explicit permission grants</w:t>
      </w:r>
      <w:r>
        <w:t xml:space="preserve"> </w:t>
      </w:r>
      <w:r>
        <w:t xml:space="preserve">- each a deliberate decision, not blanket approval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Auditable workflow</w:t>
      </w:r>
      <w:r>
        <w:t xml:space="preserve"> </w:t>
      </w:r>
      <w:r>
        <w:t xml:space="preserve">- every AI action logged, reviewable in Git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- C and Rust must produce identical output (catches AI hallucinations)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Docker CI</w:t>
      </w:r>
      <w:r>
        <w:t xml:space="preserve"> </w:t>
      </w:r>
      <w:r>
        <w:t xml:space="preserve">- reproducible builds catch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Caution: AI Slop Risk</w:t>
      </w:r>
    </w:p>
    <w:p>
      <w:pPr>
        <w:pStyle w:val="BodyText"/>
      </w:pPr>
      <w:r>
        <w:t xml:space="preserve">Like everyone reasonable, I’m wary of AI-generated code that looks plausible but is subtly wrong. Mitigations:</w:t>
      </w:r>
    </w:p>
    <w:p>
      <w:pPr>
        <w:pStyle w:val="Compact"/>
        <w:numPr>
          <w:ilvl w:val="0"/>
          <w:numId w:val="1005"/>
        </w:numPr>
      </w:pPr>
      <w:r>
        <w:t xml:space="preserve">Dual implementation verification</w:t>
      </w:r>
    </w:p>
    <w:p>
      <w:pPr>
        <w:pStyle w:val="Compact"/>
        <w:numPr>
          <w:ilvl w:val="0"/>
          <w:numId w:val="1005"/>
        </w:numPr>
      </w:pPr>
      <w:r>
        <w:t xml:space="preserve">Human-written JSON test vectors as ground truth</w:t>
      </w:r>
    </w:p>
    <w:p>
      <w:pPr>
        <w:pStyle w:val="Compact"/>
        <w:numPr>
          <w:ilvl w:val="0"/>
          <w:numId w:val="1005"/>
        </w:numPr>
      </w:pPr>
      <w:r>
        <w:t xml:space="preserve">Emulation testing (Renode runs actual ARM binary)</w:t>
      </w:r>
    </w:p>
    <w:p>
      <w:pPr>
        <w:pStyle w:val="Compact"/>
        <w:numPr>
          <w:ilvl w:val="0"/>
          <w:numId w:val="1005"/>
        </w:numPr>
      </w:pPr>
      <w:r>
        <w:t xml:space="preserve">Human review before merge</w:t>
      </w:r>
    </w:p>
    <w:p>
      <w:pPr>
        <w:pStyle w:val="Compact"/>
        <w:numPr>
          <w:ilvl w:val="0"/>
          <w:numId w:val="1005"/>
        </w:numPr>
      </w:pPr>
      <w:r>
        <w:t xml:space="preserve">Incremental trust - AI earns permissions through working code</w:t>
      </w:r>
    </w:p>
    <w:p>
      <w:pPr>
        <w:pStyle w:val="FirstParagraph"/>
      </w:pPr>
      <w:r>
        <w:rPr>
          <w:b/>
          <w:bCs/>
        </w:rPr>
        <w:t xml:space="preserve">Recommendation for NCR Voyix:</w:t>
      </w:r>
      <w:r>
        <w:t xml:space="preserve"> </w:t>
      </w:r>
      <w:r>
        <w:t xml:space="preserve">Establish</w:t>
      </w:r>
      <w:r>
        <w:t xml:space="preserve"> </w:t>
      </w:r>
      <w:r>
        <w:t xml:space="preserve">“agentic development guidelines”</w:t>
      </w:r>
      <w:r>
        <w:t xml:space="preserve"> </w:t>
      </w:r>
      <w:r>
        <w:t xml:space="preserve">before AI coding becomes widespread. The lessons learned here about safe AI-assisted development may be more valuable than the code itself.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current-status"/>
    <w:p>
      <w:pPr>
        <w:pStyle w:val="Heading2"/>
      </w:pPr>
      <w:r>
        <w:t xml:space="preserve">Current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 design</w:t>
            </w:r>
          </w:p>
        </w:tc>
        <w:tc>
          <w:tcPr/>
          <w:p>
            <w:pPr>
              <w:pStyle w:val="Compact"/>
            </w:pPr>
            <w:r>
              <w:t xml:space="preserve">Concept, no PCB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 coordination</w:t>
            </w:r>
          </w:p>
        </w:tc>
        <w:tc>
          <w:tcPr/>
          <w:p>
            <w:pPr>
              <w:pStyle w:val="Compact"/>
            </w:pPr>
            <w:r>
              <w:t xml:space="preserve">Working (tested in emulation)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 physics simulator</w:t>
            </w:r>
          </w:p>
        </w:tc>
        <w:tc>
          <w:tcPr/>
          <w:p>
            <w:pPr>
              <w:pStyle w:val="Compact"/>
            </w:pPr>
            <w:r>
              <w:t xml:space="preserve">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control loops</w:t>
            </w:r>
          </w:p>
        </w:tc>
        <w:tc>
          <w:tcPr/>
          <w:p>
            <w:pPr>
              <w:pStyle w:val="Compact"/>
            </w:pPr>
            <w:r>
              <w:t xml:space="preserve">Designed, not implemented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employment-status"/>
    <w:p>
      <w:pPr>
        <w:pStyle w:val="Heading2"/>
      </w:pPr>
      <w:r>
        <w:t xml:space="preserve">Employment Status</w:t>
      </w:r>
    </w:p>
    <w:p>
      <w:pPr>
        <w:pStyle w:val="Compact"/>
        <w:numPr>
          <w:ilvl w:val="0"/>
          <w:numId w:val="1006"/>
        </w:numPr>
      </w:pPr>
      <w:r>
        <w:t xml:space="preserve">I work on this in my personal time (weekends, evenings)</w:t>
      </w:r>
    </w:p>
    <w:p>
      <w:pPr>
        <w:pStyle w:val="Compact"/>
        <w:numPr>
          <w:ilvl w:val="0"/>
          <w:numId w:val="1006"/>
        </w:numPr>
      </w:pPr>
      <w:r>
        <w:t xml:space="preserve">On my personal computer and equipment</w:t>
      </w:r>
    </w:p>
    <w:p>
      <w:pPr>
        <w:pStyle w:val="Compact"/>
        <w:numPr>
          <w:ilvl w:val="0"/>
          <w:numId w:val="1006"/>
        </w:numPr>
      </w:pPr>
      <w:r>
        <w:t xml:space="preserve">NCR Voyix job is my priority and I’m satisfied with it</w:t>
      </w:r>
    </w:p>
    <w:p>
      <w:pPr>
        <w:pStyle w:val="Compact"/>
        <w:numPr>
          <w:ilvl w:val="0"/>
          <w:numId w:val="1006"/>
        </w:numPr>
      </w:pPr>
      <w:r>
        <w:t xml:space="preserve">I have no intention of leaving NCR Voyix</w:t>
      </w:r>
    </w:p>
    <w:p>
      <w:pPr>
        <w:pStyle w:val="Compact"/>
        <w:numPr>
          <w:ilvl w:val="0"/>
          <w:numId w:val="1006"/>
        </w:numPr>
      </w:pPr>
      <w:r>
        <w:t xml:space="preserve">Just wanted you to be aware this exists</w:t>
      </w:r>
    </w:p>
    <w:p>
      <w:r>
        <w:pict>
          <v:rect style="width:0;height:1.5pt" o:hralign="center" o:hrstd="t" o:hr="t"/>
        </w:pict>
      </w:r>
    </w:p>
    <w:bookmarkEnd w:id="21"/>
    <w:bookmarkStart w:id="22" w:name="final-note"/>
    <w:p>
      <w:pPr>
        <w:pStyle w:val="Heading2"/>
      </w:pPr>
      <w:r>
        <w:t xml:space="preserve">Final Note</w:t>
      </w:r>
    </w:p>
    <w:p>
      <w:pPr>
        <w:pStyle w:val="FirstParagraph"/>
      </w:pPr>
      <w:r>
        <w:t xml:space="preserve">The primary purpose of this disclosure is transparency - I believe in being upfront about side projects, even when unrelated to my employer.</w:t>
      </w:r>
    </w:p>
    <w:p>
      <w:pPr>
        <w:pStyle w:val="BodyText"/>
      </w:pPr>
      <w:r>
        <w:t xml:space="preserve">That said, if NCR Voyix sees business value here and would be interested in exploring this further, I would be more than happy to discuss. But that is not the goal of this document - just an open door.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All documentation and code are my personal work, developed independently from NCR Voyix.</w:t>
      </w:r>
    </w:p>
    <w:bookmarkEnd w:id="22"/>
    <w:bookmarkEnd w:id="23"/>
    <w:bookmarkStart w:id="30" w:name="appendix-code-reference"/>
    <w:p>
      <w:pPr>
        <w:pStyle w:val="Heading1"/>
      </w:pPr>
      <w:r>
        <w:t xml:space="preserve">Appendix: Code Reference</w:t>
      </w:r>
    </w:p>
    <w:p>
      <w:pPr>
        <w:pStyle w:val="FirstParagraph"/>
      </w:pPr>
      <w:r>
        <w:rPr>
          <w:i/>
          <w:iCs/>
        </w:rPr>
        <w:t xml:space="preserve">The following code samples are provided for technical reference only.</w:t>
      </w:r>
    </w:p>
    <w:bookmarkStart w:id="24" w:name="a1.-roj-heartbeat-message-c"/>
    <w:p>
      <w:pPr>
        <w:pStyle w:val="Heading2"/>
      </w:pPr>
      <w:r>
        <w:t xml:space="preserve">A1. ROJ Heartbeat Message (C)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module_id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state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IDLE, CHARGING, FAULT, etc.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output_voltage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0.1V resolution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output_current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0.1A resolution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temperature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°C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soc_estimate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uptime_seconds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neighbor_count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heartbeat_msg_t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12 bytes, fits in single CAN-FD frame</w:t>
      </w:r>
    </w:p>
    <w:bookmarkEnd w:id="24"/>
    <w:bookmarkStart w:id="25" w:name="a2.-consensus-state-c"/>
    <w:p>
      <w:pPr>
        <w:pStyle w:val="Heading2"/>
      </w:pPr>
      <w:r>
        <w:t xml:space="preserve">A2. Consensus State (C)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ROLE_FOLLOWER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ROLE_CANDIDATE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ROLE_LEADER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raft_role_t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current_term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voted_for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current_leader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commit_index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last_applied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consensus_state_t</w:t>
      </w:r>
      <w:r>
        <w:rPr>
          <w:rStyle w:val="OperatorTok"/>
        </w:rPr>
        <w:t xml:space="preserve">;</w:t>
      </w:r>
    </w:p>
    <w:bookmarkEnd w:id="25"/>
    <w:bookmarkStart w:id="26" w:name="a3.-go-error-handling-pattern"/>
    <w:p>
      <w:pPr>
        <w:pStyle w:val="Heading2"/>
      </w:pPr>
      <w:r>
        <w:t xml:space="preserve">A3. Go Error Handling Pattern</w:t>
      </w:r>
    </w:p>
    <w:p>
      <w:pPr>
        <w:pStyle w:val="SourceCode"/>
      </w:pP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Simulation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AddModule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 </w:t>
      </w:r>
      <w:r>
        <w:rPr>
          <w:rStyle w:val="DataTypeTok"/>
        </w:rPr>
        <w:t xml:space="preserve">uint8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rack </w:t>
      </w:r>
      <w:r>
        <w:rPr>
          <w:rStyle w:val="DataTypeTok"/>
        </w:rPr>
        <w:t xml:space="preserve">uint8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MaxModules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"module ID %d exceeds maximum %d"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MaxModules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exists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exists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ErrModuleAlreadyExists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implementation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bookmarkEnd w:id="26"/>
    <w:bookmarkStart w:id="27" w:name="a4.-rust-state-machine-pattern"/>
    <w:p>
      <w:pPr>
        <w:pStyle w:val="Heading2"/>
      </w:pPr>
      <w:r>
        <w:t xml:space="preserve">A4. Rust State Machine Pattern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ModuleState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Offline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Initializing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start_time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Instant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Online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neighbor_count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Fault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FaultCode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recoverable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module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ModuleState::</w:t>
      </w:r>
      <w:r>
        <w:rPr>
          <w:rStyle w:val="NormalTok"/>
        </w:rPr>
        <w:t xml:space="preserve">Offline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start_discovery()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ModuleState::</w:t>
      </w:r>
      <w:r>
        <w:rPr>
          <w:rStyle w:val="NormalTok"/>
        </w:rPr>
        <w:t xml:space="preserve">Fault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recoverable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attempt_recovery()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ModuleState::</w:t>
      </w:r>
      <w:r>
        <w:rPr>
          <w:rStyle w:val="NormalTok"/>
        </w:rPr>
        <w:t xml:space="preserve">Fault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recoverable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halt()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a5.-thermal-model-go"/>
    <w:p>
      <w:pPr>
        <w:pStyle w:val="Heading2"/>
      </w:pPr>
      <w:r>
        <w:t xml:space="preserve">A5. Thermal Model (Go)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RthJC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0.24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Junction to case (K/W)</w:t>
      </w:r>
      <w:r>
        <w:br/>
      </w:r>
      <w:r>
        <w:rPr>
          <w:rStyle w:val="NormalTok"/>
        </w:rPr>
        <w:t xml:space="preserve">    RthCH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Case to heatsink (K/W)</w:t>
      </w:r>
      <w:r>
        <w:br/>
      </w:r>
      <w:r>
        <w:rPr>
          <w:rStyle w:val="NormalTok"/>
        </w:rPr>
        <w:t xml:space="preserve">    RthHA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Heatsink to ambient (K/W)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ThermalModel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powerLoss 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dt </w:t>
      </w:r>
      <w:r>
        <w:rPr>
          <w:rStyle w:val="DataTypeTok"/>
        </w:rPr>
        <w:t xml:space="preserve">float64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tau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Rth</w:t>
      </w:r>
      <w:r>
        <w:br/>
      </w:r>
      <w:r>
        <w:rPr>
          <w:rStyle w:val="NormalTok"/>
        </w:rPr>
        <w:t xml:space="preserve">    dT_ss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powerLoss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Rth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Temperature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dT_ss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Temperature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Ambient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dt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tau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}</w:t>
      </w:r>
    </w:p>
    <w:bookmarkEnd w:id="28"/>
    <w:bookmarkStart w:id="29" w:name="a6.-can-fd-message-ids-c"/>
    <w:p>
      <w:pPr>
        <w:pStyle w:val="Heading2"/>
      </w:pPr>
      <w:r>
        <w:t xml:space="preserve">A6. CAN-FD Message IDs (C)</w:t>
      </w:r>
    </w:p>
    <w:p>
      <w:pPr>
        <w:pStyle w:val="SourceCode"/>
      </w:pPr>
      <w:r>
        <w:rPr>
          <w:rStyle w:val="PreprocessorTok"/>
        </w:rPr>
        <w:t xml:space="preserve">#define MSG_HEARTBEAT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0x000-0x0FF</w:t>
      </w:r>
      <w:r>
        <w:br/>
      </w:r>
      <w:r>
        <w:rPr>
          <w:rStyle w:val="PreprocessorTok"/>
        </w:rPr>
        <w:t xml:space="preserve">#define MSG_CONSENSUS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0x100-0x1FF</w:t>
      </w:r>
      <w:r>
        <w:br/>
      </w:r>
      <w:r>
        <w:rPr>
          <w:rStyle w:val="PreprocessorTok"/>
        </w:rPr>
        <w:t xml:space="preserve">#define MSG_POWER_CMD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0x200-0x2FF</w:t>
      </w:r>
      <w:r>
        <w:br/>
      </w:r>
      <w:r>
        <w:rPr>
          <w:rStyle w:val="PreprocessorTok"/>
        </w:rPr>
        <w:t xml:space="preserve">#define MSG_FAULT  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0x300-0x3FF</w:t>
      </w:r>
      <w:r>
        <w:br/>
      </w:r>
      <w:r>
        <w:rPr>
          <w:rStyle w:val="PreprocessorTok"/>
        </w:rPr>
        <w:t xml:space="preserve">#define MSG_VEHICLE  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0x500-0x5FF (ISO 15118)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2026-01-19T18:28:31Z</dcterms:created>
  <dcterms:modified xsi:type="dcterms:W3CDTF">2026-01-19T18:28:31Z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