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oject-overview-elektrokombinacija"/>
    <w:p>
      <w:pPr>
        <w:pStyle w:val="Heading1"/>
      </w:pPr>
      <w:r>
        <w:t xml:space="preserve">Project Overview: Elektrokombinacija</w:t>
      </w:r>
    </w:p>
    <w:p>
      <w:pPr>
        <w:pStyle w:val="FirstParagraph"/>
      </w:pPr>
      <w:r>
        <w:rPr>
          <w:b/>
          <w:bCs/>
        </w:rPr>
        <w:t xml:space="preserve">For NCR Voyix Internal Disclosure</w:t>
      </w:r>
    </w:p>
    <w:p>
      <w:r>
        <w:pict>
          <v:rect style="width:0;height:1.5pt" o:hralign="center" o:hrstd="t" o:hr="t"/>
        </w:pict>
      </w:r>
    </w:p>
    <w:bookmarkStart w:id="9" w:name="what-is-elektrokombinacija"/>
    <w:p>
      <w:pPr>
        <w:pStyle w:val="Heading2"/>
      </w:pPr>
      <w:r>
        <w:t xml:space="preserve">What Is Elektrokombinacija?</w:t>
      </w:r>
    </w:p>
    <w:p>
      <w:pPr>
        <w:pStyle w:val="FirstParagraph"/>
      </w:pPr>
      <w:r>
        <w:t xml:space="preserve">Elektrokombinacija develops modular EV charging infrastructure for electric bus fleets. The core innovation is a 3.3kW power module (called EK3) that can be combined in any quantity to create chargers from 3kW to 3MW.</w:t>
      </w:r>
    </w:p>
    <w:p>
      <w:pPr>
        <w:pStyle w:val="BodyText"/>
      </w:pPr>
      <w:r>
        <w:rPr>
          <w:b/>
          <w:bCs/>
        </w:rPr>
        <w:t xml:space="preserve">Industry context:</w:t>
      </w:r>
      <w:r>
        <w:t xml:space="preserve"> </w:t>
      </w:r>
      <w:r>
        <w:t xml:space="preserve">Cities worldwide are converting bus fleets from diesel to electric. Charging infrastructure is a bottleneck—existing solutions are expensive, inflexible, and have single points of failure.</w:t>
      </w:r>
    </w:p>
    <w:p>
      <w:pPr>
        <w:pStyle w:val="BodyText"/>
      </w:pPr>
      <w:r>
        <w:rPr>
          <w:b/>
          <w:bCs/>
        </w:rPr>
        <w:t xml:space="preserve">Our approach:</w:t>
      </w:r>
      <w:r>
        <w:t xml:space="preserve"> </w:t>
      </w:r>
      <w:r>
        <w:t xml:space="preserve">Instead of monolithic chargers, we use hundreds of small, identical modules. If one fails, the system continues operating. Power levels scale exactly to need.</w:t>
      </w:r>
    </w:p>
    <w:p>
      <w:r>
        <w:pict>
          <v:rect style="width:0;height:1.5pt" o:hralign="center" o:hrstd="t" o:hr="t"/>
        </w:pict>
      </w:r>
    </w:p>
    <w:bookmarkEnd w:id="9"/>
    <w:bookmarkStart w:id="13" w:name="technical-architecture-summary"/>
    <w:p>
      <w:pPr>
        <w:pStyle w:val="Heading2"/>
      </w:pPr>
      <w:r>
        <w:t xml:space="preserve">Technical Architecture (Summary)</w:t>
      </w:r>
    </w:p>
    <w:bookmarkStart w:id="10" w:name="hardware-ek3-module"/>
    <w:p>
      <w:pPr>
        <w:pStyle w:val="Heading3"/>
      </w:pPr>
      <w:r>
        <w:t xml:space="preserve">Hardware: EK3 Module</w:t>
      </w:r>
    </w:p>
    <w:p>
      <w:pPr>
        <w:pStyle w:val="Compact"/>
        <w:numPr>
          <w:ilvl w:val="0"/>
          <w:numId w:val="1001"/>
        </w:numPr>
      </w:pPr>
      <w:r>
        <w:rPr>
          <w:b/>
          <w:bCs/>
        </w:rPr>
        <w:t xml:space="preserve">Power:</w:t>
      </w:r>
      <w:r>
        <w:t xml:space="preserve"> </w:t>
      </w:r>
      <w:r>
        <w:t xml:space="preserve">3.3kW continuous</w:t>
      </w:r>
    </w:p>
    <w:p>
      <w:pPr>
        <w:pStyle w:val="Compact"/>
        <w:numPr>
          <w:ilvl w:val="0"/>
          <w:numId w:val="1001"/>
        </w:numPr>
      </w:pPr>
      <w:r>
        <w:rPr>
          <w:b/>
          <w:bCs/>
        </w:rPr>
        <w:t xml:space="preserve">Dimensions:</w:t>
      </w:r>
      <w:r>
        <w:t xml:space="preserve"> </w:t>
      </w:r>
      <w:r>
        <w:t xml:space="preserve">200 x 320 x 44mm</w:t>
      </w:r>
    </w:p>
    <w:p>
      <w:pPr>
        <w:pStyle w:val="Compact"/>
        <w:numPr>
          <w:ilvl w:val="0"/>
          <w:numId w:val="1001"/>
        </w:numPr>
      </w:pPr>
      <w:r>
        <w:rPr>
          <w:b/>
          <w:bCs/>
        </w:rPr>
        <w:t xml:space="preserve">MCU:</w:t>
      </w:r>
      <w:r>
        <w:t xml:space="preserve"> </w:t>
      </w:r>
      <w:r>
        <w:t xml:space="preserve">STM32G474 (Cortex-M4F)</w:t>
      </w:r>
    </w:p>
    <w:p>
      <w:pPr>
        <w:pStyle w:val="Compact"/>
        <w:numPr>
          <w:ilvl w:val="0"/>
          <w:numId w:val="1001"/>
        </w:numPr>
      </w:pPr>
      <w:r>
        <w:rPr>
          <w:b/>
          <w:bCs/>
        </w:rPr>
        <w:t xml:space="preserve">Communication:</w:t>
      </w:r>
      <w:r>
        <w:t xml:space="preserve"> </w:t>
      </w:r>
      <w:r>
        <w:t xml:space="preserve">CAN-FD @ 5Mbps</w:t>
      </w:r>
    </w:p>
    <w:bookmarkEnd w:id="10"/>
    <w:bookmarkStart w:id="11" w:name="software-ek-kor2-rtos"/>
    <w:p>
      <w:pPr>
        <w:pStyle w:val="Heading3"/>
      </w:pPr>
      <w:r>
        <w:t xml:space="preserve">Software: EK-KOR2 RTOS</w:t>
      </w:r>
    </w:p>
    <w:p>
      <w:pPr>
        <w:pStyle w:val="Compact"/>
        <w:numPr>
          <w:ilvl w:val="0"/>
          <w:numId w:val="1002"/>
        </w:numPr>
      </w:pPr>
      <w:r>
        <w:t xml:space="preserve">Distributed coordination without central scheduler</w:t>
      </w:r>
    </w:p>
    <w:p>
      <w:pPr>
        <w:pStyle w:val="Compact"/>
        <w:numPr>
          <w:ilvl w:val="0"/>
          <w:numId w:val="1002"/>
        </w:numPr>
      </w:pPr>
      <w:r>
        <w:t xml:space="preserve">Potential field scheduling (bio-inspired algorithms)</w:t>
      </w:r>
    </w:p>
    <w:p>
      <w:pPr>
        <w:pStyle w:val="Compact"/>
        <w:numPr>
          <w:ilvl w:val="0"/>
          <w:numId w:val="1002"/>
        </w:numPr>
      </w:pPr>
      <w:r>
        <w:t xml:space="preserve">Fault-tolerant consensus mechanisms</w:t>
      </w:r>
    </w:p>
    <w:p>
      <w:pPr>
        <w:pStyle w:val="Compact"/>
        <w:numPr>
          <w:ilvl w:val="0"/>
          <w:numId w:val="1002"/>
        </w:numPr>
      </w:pPr>
      <w:r>
        <w:t xml:space="preserve">Real-time operation (&lt;1ms latency)</w:t>
      </w:r>
    </w:p>
    <w:bookmarkEnd w:id="11"/>
    <w:bookmarkStart w:id="12" w:name="scaling"/>
    <w:p>
      <w:pPr>
        <w:pStyle w:val="Heading3"/>
      </w:pPr>
      <w:r>
        <w:t xml:space="preserve">Scaling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Application</w:t>
            </w:r>
          </w:p>
        </w:tc>
        <w:tc>
          <w:tcPr/>
          <w:p>
            <w:pPr>
              <w:pStyle w:val="Compact"/>
            </w:pPr>
            <w:r>
              <w:t xml:space="preserve">Modules</w:t>
            </w:r>
          </w:p>
        </w:tc>
        <w:tc>
          <w:tcPr/>
          <w:p>
            <w:pPr>
              <w:pStyle w:val="Compact"/>
            </w:pPr>
            <w:r>
              <w:t xml:space="preserve">Power</w:t>
            </w:r>
          </w:p>
        </w:tc>
      </w:tr>
      <w:tr>
        <w:tc>
          <w:tcPr/>
          <w:p>
            <w:pPr>
              <w:pStyle w:val="Compact"/>
            </w:pPr>
            <w:r>
              <w:t xml:space="preserve">E-bike</w:t>
            </w:r>
          </w:p>
        </w:tc>
        <w:tc>
          <w:tcPr/>
          <w:p>
            <w:pPr>
              <w:pStyle w:val="Compact"/>
            </w:pPr>
            <w:r>
              <w:t xml:space="preserve">1</w:t>
            </w:r>
          </w:p>
        </w:tc>
        <w:tc>
          <w:tcPr/>
          <w:p>
            <w:pPr>
              <w:pStyle w:val="Compact"/>
            </w:pPr>
            <w:r>
              <w:t xml:space="preserve">3.3 kW</w:t>
            </w:r>
          </w:p>
        </w:tc>
      </w:tr>
      <w:tr>
        <w:tc>
          <w:tcPr/>
          <w:p>
            <w:pPr>
              <w:pStyle w:val="Compact"/>
            </w:pPr>
            <w:r>
              <w:t xml:space="preserve">Home charger</w:t>
            </w:r>
          </w:p>
        </w:tc>
        <w:tc>
          <w:tcPr/>
          <w:p>
            <w:pPr>
              <w:pStyle w:val="Compact"/>
            </w:pPr>
            <w:r>
              <w:t xml:space="preserve">7</w:t>
            </w:r>
          </w:p>
        </w:tc>
        <w:tc>
          <w:tcPr/>
          <w:p>
            <w:pPr>
              <w:pStyle w:val="Compact"/>
            </w:pPr>
            <w:r>
              <w:t xml:space="preserve">23 kW</w:t>
            </w:r>
          </w:p>
        </w:tc>
      </w:tr>
      <w:tr>
        <w:tc>
          <w:tcPr/>
          <w:p>
            <w:pPr>
              <w:pStyle w:val="Compact"/>
            </w:pPr>
            <w:r>
              <w:t xml:space="preserve">DC fast charger</w:t>
            </w:r>
          </w:p>
        </w:tc>
        <w:tc>
          <w:tcPr/>
          <w:p>
            <w:pPr>
              <w:pStyle w:val="Compact"/>
            </w:pPr>
            <w:r>
              <w:t xml:space="preserve">46</w:t>
            </w:r>
          </w:p>
        </w:tc>
        <w:tc>
          <w:tcPr/>
          <w:p>
            <w:pPr>
              <w:pStyle w:val="Compact"/>
            </w:pPr>
            <w:r>
              <w:t xml:space="preserve">152 kW</w:t>
            </w:r>
          </w:p>
        </w:tc>
      </w:tr>
      <w:tr>
        <w:tc>
          <w:tcPr/>
          <w:p>
            <w:pPr>
              <w:pStyle w:val="Compact"/>
            </w:pPr>
            <w:r>
              <w:t xml:space="preserve">Bus depot</w:t>
            </w:r>
          </w:p>
        </w:tc>
        <w:tc>
          <w:tcPr/>
          <w:p>
            <w:pPr>
              <w:pStyle w:val="Compact"/>
            </w:pPr>
            <w:r>
              <w:t xml:space="preserve">152</w:t>
            </w:r>
          </w:p>
        </w:tc>
        <w:tc>
          <w:tcPr/>
          <w:p>
            <w:pPr>
              <w:pStyle w:val="Compact"/>
            </w:pPr>
            <w:r>
              <w:t xml:space="preserve">502 kW</w:t>
            </w:r>
          </w:p>
        </w:tc>
      </w:tr>
      <w:tr>
        <w:tc>
          <w:tcPr/>
          <w:p>
            <w:pPr>
              <w:pStyle w:val="Compact"/>
            </w:pPr>
            <w:r>
              <w:t xml:space="preserve">Truck MCS</w:t>
            </w:r>
          </w:p>
        </w:tc>
        <w:tc>
          <w:tcPr/>
          <w:p>
            <w:pPr>
              <w:pStyle w:val="Compact"/>
            </w:pPr>
            <w:r>
              <w:t xml:space="preserve">909</w:t>
            </w:r>
          </w:p>
        </w:tc>
        <w:tc>
          <w:tcPr/>
          <w:p>
            <w:pPr>
              <w:pStyle w:val="Compact"/>
            </w:pPr>
            <w:r>
              <w:t xml:space="preserve">3 MW</w:t>
            </w:r>
          </w:p>
        </w:tc>
      </w:tr>
    </w:tbl>
    <w:p>
      <w:r>
        <w:pict>
          <v:rect style="width:0;height:1.5pt" o:hralign="center" o:hrstd="t" o:hr="t"/>
        </w:pict>
      </w:r>
    </w:p>
    <w:bookmarkEnd w:id="12"/>
    <w:bookmarkEnd w:id="13"/>
    <w:bookmarkStart w:id="16" w:name="company-structure"/>
    <w:p>
      <w:pPr>
        <w:pStyle w:val="Heading2"/>
      </w:pPr>
      <w:r>
        <w:t xml:space="preserve">Company Structure</w:t>
      </w:r>
    </w:p>
    <w:p>
      <w:pPr>
        <w:pStyle w:val="FirstParagraph"/>
      </w:pPr>
      <w:r>
        <w:rPr>
          <w:b/>
          <w:bCs/>
        </w:rPr>
        <w:t xml:space="preserve">Elektrokombinacija BV</w:t>
      </w:r>
      <w:r>
        <w:t xml:space="preserve"> </w:t>
      </w:r>
      <w:r>
        <w:t xml:space="preserve">(Netherlands)</w:t>
      </w:r>
    </w:p>
    <w:bookmarkStart w:id="14" w:name="team"/>
    <w:p>
      <w:pPr>
        <w:pStyle w:val="Heading3"/>
      </w:pPr>
      <w:r>
        <w:t xml:space="preserve">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w:t>
            </w:r>
          </w:p>
        </w:tc>
        <w:tc>
          <w:tcPr/>
          <w:p>
            <w:pPr>
              <w:pStyle w:val="Compact"/>
            </w:pPr>
            <w:r>
              <w:t xml:space="preserve">Status</w:t>
            </w:r>
          </w:p>
        </w:tc>
      </w:tr>
      <w:tr>
        <w:tc>
          <w:tcPr/>
          <w:p>
            <w:pPr>
              <w:pStyle w:val="Compact"/>
            </w:pPr>
            <w:r>
              <w:rPr>
                <w:b/>
                <w:bCs/>
              </w:rPr>
              <w:t xml:space="preserve">CEO</w:t>
            </w:r>
          </w:p>
        </w:tc>
        <w:tc>
          <w:tcPr/>
          <w:p>
            <w:pPr>
              <w:pStyle w:val="Compact"/>
            </w:pPr>
            <w:r>
              <w:t xml:space="preserve">Marija Janjatovic</w:t>
            </w:r>
          </w:p>
        </w:tc>
        <w:tc>
          <w:tcPr/>
          <w:p>
            <w:pPr>
              <w:pStyle w:val="Compact"/>
            </w:pPr>
            <w:r>
              <w:t xml:space="preserve">100% dedicated, full-time</w:t>
            </w:r>
          </w:p>
        </w:tc>
      </w:tr>
      <w:tr>
        <w:tc>
          <w:tcPr/>
          <w:p>
            <w:pPr>
              <w:pStyle w:val="Compact"/>
            </w:pPr>
            <w:r>
              <w:rPr>
                <w:b/>
                <w:bCs/>
              </w:rPr>
              <w:t xml:space="preserve">CTO</w:t>
            </w:r>
          </w:p>
        </w:tc>
        <w:tc>
          <w:tcPr/>
          <w:p>
            <w:pPr>
              <w:pStyle w:val="Compact"/>
            </w:pPr>
            <w:r>
              <w:t xml:space="preserve">Bojan Janjatovic</w:t>
            </w:r>
          </w:p>
        </w:tc>
        <w:tc>
          <w:tcPr/>
          <w:p>
            <w:pPr>
              <w:pStyle w:val="Compact"/>
            </w:pPr>
            <w:r>
              <w:t xml:space="preserve">Oversight role, dev work done</w:t>
            </w:r>
          </w:p>
        </w:tc>
      </w:tr>
    </w:tbl>
    <w:bookmarkEnd w:id="14"/>
    <w:bookmarkStart w:id="15" w:name="role-division"/>
    <w:p>
      <w:pPr>
        <w:pStyle w:val="Heading3"/>
      </w:pPr>
      <w:r>
        <w:t xml:space="preserve">Role Division</w:t>
      </w:r>
    </w:p>
    <w:p>
      <w:pPr>
        <w:pStyle w:val="FirstParagraph"/>
      </w:pPr>
      <w:r>
        <w:rPr>
          <w:b/>
          <w:bCs/>
        </w:rPr>
        <w:t xml:space="preserve">Marija (CEO)</w:t>
      </w:r>
      <w:r>
        <w:t xml:space="preserve"> </w:t>
      </w:r>
      <w:r>
        <w:t xml:space="preserve">handles all business activities:</w:t>
      </w:r>
      <w:r>
        <w:t xml:space="preserve"> </w:t>
      </w:r>
      <w:r>
        <w:t xml:space="preserve">- Investor relations</w:t>
      </w:r>
      <w:r>
        <w:t xml:space="preserve"> </w:t>
      </w:r>
      <w:r>
        <w:t xml:space="preserve">- Partnership development</w:t>
      </w:r>
      <w:r>
        <w:t xml:space="preserve"> </w:t>
      </w:r>
      <w:r>
        <w:t xml:space="preserve">- Grant applications</w:t>
      </w:r>
      <w:r>
        <w:t xml:space="preserve"> </w:t>
      </w:r>
      <w:r>
        <w:t xml:space="preserve">- Regulatory compliance</w:t>
      </w:r>
      <w:r>
        <w:t xml:space="preserve"> </w:t>
      </w:r>
      <w:r>
        <w:t xml:space="preserve">- Operations planning</w:t>
      </w:r>
    </w:p>
    <w:p>
      <w:pPr>
        <w:pStyle w:val="BodyText"/>
      </w:pPr>
      <w:r>
        <w:rPr>
          <w:b/>
          <w:bCs/>
        </w:rPr>
        <w:t xml:space="preserve">Bojan (CTO)</w:t>
      </w:r>
      <w:r>
        <w:t xml:space="preserve"> </w:t>
      </w:r>
      <w:r>
        <w:t xml:space="preserve">provides technical oversight:</w:t>
      </w:r>
      <w:r>
        <w:t xml:space="preserve"> </w:t>
      </w:r>
      <w:r>
        <w:t xml:space="preserve">- Architecture decisions (when needed)</w:t>
      </w:r>
      <w:r>
        <w:t xml:space="preserve"> </w:t>
      </w:r>
      <w:r>
        <w:t xml:space="preserve">- Technical due diligence support</w:t>
      </w:r>
      <w:r>
        <w:t xml:space="preserve"> </w:t>
      </w:r>
      <w:r>
        <w:t xml:space="preserve">- Code review (occasional)</w:t>
      </w:r>
    </w:p>
    <w:p>
      <w:r>
        <w:pict>
          <v:rect style="width:0;height:1.5pt" o:hralign="center" o:hrstd="t" o:hr="t"/>
        </w:pict>
      </w:r>
    </w:p>
    <w:bookmarkEnd w:id="15"/>
    <w:bookmarkEnd w:id="16"/>
    <w:bookmarkStart w:id="19" w:name="development-status"/>
    <w:p>
      <w:pPr>
        <w:pStyle w:val="Heading2"/>
      </w:pPr>
      <w:r>
        <w:t xml:space="preserve">Development Status</w:t>
      </w:r>
    </w:p>
    <w:bookmarkStart w:id="17" w:name="completed-95"/>
    <w:p>
      <w:pPr>
        <w:pStyle w:val="Heading3"/>
      </w:pPr>
      <w:r>
        <w:t xml:space="preserve">Completed (~95%)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Status</w:t>
            </w:r>
          </w:p>
        </w:tc>
      </w:tr>
      <w:tr>
        <w:tc>
          <w:tcPr/>
          <w:p>
            <w:pPr>
              <w:pStyle w:val="Compact"/>
            </w:pPr>
            <w:r>
              <w:t xml:space="preserve">EK-KOR2 kernel (C)</w:t>
            </w:r>
          </w:p>
        </w:tc>
        <w:tc>
          <w:tcPr/>
          <w:p>
            <w:pPr>
              <w:pStyle w:val="Compact"/>
            </w:pPr>
            <w:r>
              <w:t xml:space="preserve">Working</w:t>
            </w:r>
          </w:p>
        </w:tc>
      </w:tr>
      <w:tr>
        <w:tc>
          <w:tcPr/>
          <w:p>
            <w:pPr>
              <w:pStyle w:val="Compact"/>
            </w:pPr>
            <w:r>
              <w:t xml:space="preserve">EK-KOR2 kernel (Rust)</w:t>
            </w:r>
          </w:p>
        </w:tc>
        <w:tc>
          <w:tcPr/>
          <w:p>
            <w:pPr>
              <w:pStyle w:val="Compact"/>
            </w:pPr>
            <w:r>
              <w:t xml:space="preserve">Working</w:t>
            </w:r>
          </w:p>
        </w:tc>
      </w:tr>
      <w:tr>
        <w:tc>
          <w:tcPr/>
          <w:p>
            <w:pPr>
              <w:pStyle w:val="Compact"/>
            </w:pPr>
            <w:r>
              <w:t xml:space="preserve">Cross-validation test system</w:t>
            </w:r>
          </w:p>
        </w:tc>
        <w:tc>
          <w:tcPr/>
          <w:p>
            <w:pPr>
              <w:pStyle w:val="Compact"/>
            </w:pPr>
            <w:r>
              <w:t xml:space="preserve">Comprehensive</w:t>
            </w:r>
          </w:p>
        </w:tc>
      </w:tr>
      <w:tr>
        <w:tc>
          <w:tcPr/>
          <w:p>
            <w:pPr>
              <w:pStyle w:val="Compact"/>
            </w:pPr>
            <w:r>
              <w:t xml:space="preserve">Technical documentation</w:t>
            </w:r>
          </w:p>
        </w:tc>
        <w:tc>
          <w:tcPr/>
          <w:p>
            <w:pPr>
              <w:pStyle w:val="Compact"/>
            </w:pPr>
            <w:r>
              <w:t xml:space="preserve">Complete</w:t>
            </w:r>
          </w:p>
        </w:tc>
      </w:tr>
      <w:tr>
        <w:tc>
          <w:tcPr/>
          <w:p>
            <w:pPr>
              <w:pStyle w:val="Compact"/>
            </w:pPr>
            <w:r>
              <w:t xml:space="preserve">Hardware abstraction layers</w:t>
            </w:r>
          </w:p>
        </w:tc>
        <w:tc>
          <w:tcPr/>
          <w:p>
            <w:pPr>
              <w:pStyle w:val="Compact"/>
            </w:pPr>
            <w:r>
              <w:t xml:space="preserve">Working</w:t>
            </w:r>
          </w:p>
        </w:tc>
      </w:tr>
      <w:tr>
        <w:tc>
          <w:tcPr/>
          <w:p>
            <w:pPr>
              <w:pStyle w:val="Compact"/>
            </w:pPr>
            <w:r>
              <w:t xml:space="preserve">Communication protocols</w:t>
            </w:r>
          </w:p>
        </w:tc>
        <w:tc>
          <w:tcPr/>
          <w:p>
            <w:pPr>
              <w:pStyle w:val="Compact"/>
            </w:pPr>
            <w:r>
              <w:t xml:space="preserve">Specified</w:t>
            </w:r>
          </w:p>
        </w:tc>
      </w:tr>
    </w:tbl>
    <w:bookmarkEnd w:id="17"/>
    <w:bookmarkStart w:id="18" w:name="remaining-5"/>
    <w:p>
      <w:pPr>
        <w:pStyle w:val="Heading3"/>
      </w:pPr>
      <w:r>
        <w:t xml:space="preserve">Remaining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Owner</w:t>
            </w:r>
          </w:p>
        </w:tc>
      </w:tr>
      <w:tr>
        <w:tc>
          <w:tcPr/>
          <w:p>
            <w:pPr>
              <w:pStyle w:val="Compact"/>
            </w:pPr>
            <w:r>
              <w:t xml:space="preserve">Hardware prototyping</w:t>
            </w:r>
          </w:p>
        </w:tc>
        <w:tc>
          <w:tcPr/>
          <w:p>
            <w:pPr>
              <w:pStyle w:val="Compact"/>
            </w:pPr>
            <w:r>
              <w:t xml:space="preserve">Future</w:t>
            </w:r>
          </w:p>
        </w:tc>
        <w:tc>
          <w:tcPr/>
          <w:p>
            <w:pPr>
              <w:pStyle w:val="Compact"/>
            </w:pPr>
            <w:r>
              <w:t xml:space="preserve">External fab</w:t>
            </w:r>
          </w:p>
        </w:tc>
      </w:tr>
      <w:tr>
        <w:tc>
          <w:tcPr/>
          <w:p>
            <w:pPr>
              <w:pStyle w:val="Compact"/>
            </w:pPr>
            <w:r>
              <w:t xml:space="preserve">Certifications</w:t>
            </w:r>
          </w:p>
        </w:tc>
        <w:tc>
          <w:tcPr/>
          <w:p>
            <w:pPr>
              <w:pStyle w:val="Compact"/>
            </w:pPr>
            <w:r>
              <w:t xml:space="preserve">Future</w:t>
            </w:r>
          </w:p>
        </w:tc>
        <w:tc>
          <w:tcPr/>
          <w:p>
            <w:pPr>
              <w:pStyle w:val="Compact"/>
            </w:pPr>
            <w:r>
              <w:t xml:space="preserve">Consultants</w:t>
            </w:r>
          </w:p>
        </w:tc>
      </w:tr>
      <w:tr>
        <w:tc>
          <w:tcPr/>
          <w:p>
            <w:pPr>
              <w:pStyle w:val="Compact"/>
            </w:pPr>
            <w:r>
              <w:t xml:space="preserve">Production setup</w:t>
            </w:r>
          </w:p>
        </w:tc>
        <w:tc>
          <w:tcPr/>
          <w:p>
            <w:pPr>
              <w:pStyle w:val="Compact"/>
            </w:pPr>
            <w:r>
              <w:t xml:space="preserve">Future</w:t>
            </w:r>
          </w:p>
        </w:tc>
        <w:tc>
          <w:tcPr/>
          <w:p>
            <w:pPr>
              <w:pStyle w:val="Compact"/>
            </w:pPr>
            <w:r>
              <w:t xml:space="preserve">Partners</w:t>
            </w:r>
          </w:p>
        </w:tc>
      </w:tr>
    </w:tbl>
    <w:p>
      <w:pPr>
        <w:pStyle w:val="BodyText"/>
      </w:pPr>
      <w:r>
        <w:rPr>
          <w:b/>
          <w:bCs/>
        </w:rPr>
        <w:t xml:space="preserve">Key point:</w:t>
      </w:r>
      <w:r>
        <w:t xml:space="preserve"> </w:t>
      </w:r>
      <w:r>
        <w:t xml:space="preserve">The software development work that required my direct involvement is essentially complete. What remains is business development (Marija’s domain) and hardware manufacturing (external partners).</w:t>
      </w:r>
    </w:p>
    <w:p>
      <w:r>
        <w:pict>
          <v:rect style="width:0;height:1.5pt" o:hralign="center" o:hrstd="t" o:hr="t"/>
        </w:pict>
      </w:r>
    </w:p>
    <w:bookmarkEnd w:id="18"/>
    <w:bookmarkEnd w:id="19"/>
    <w:bookmarkStart w:id="20" w:name="market-and-industry"/>
    <w:p>
      <w:pPr>
        <w:pStyle w:val="Heading2"/>
      </w:pPr>
      <w:r>
        <w:t xml:space="preserve">Market and Industry</w:t>
      </w:r>
    </w:p>
    <w:p>
      <w:pPr>
        <w:pStyle w:val="FirstParagraph"/>
      </w:pPr>
      <w:r>
        <w:rPr>
          <w:b/>
          <w:bCs/>
        </w:rPr>
        <w:t xml:space="preserve">Target market:</w:t>
      </w:r>
      <w:r>
        <w:t xml:space="preserve"> </w:t>
      </w:r>
      <w:r>
        <w:t xml:space="preserve">Public transit authorities, depot operators, fleet managers</w:t>
      </w:r>
    </w:p>
    <w:p>
      <w:pPr>
        <w:pStyle w:val="BodyText"/>
      </w:pPr>
      <w:r>
        <w:rPr>
          <w:b/>
          <w:bCs/>
        </w:rPr>
        <w:t xml:space="preserve">Industry:</w:t>
      </w:r>
      <w:r>
        <w:t xml:space="preserve"> </w:t>
      </w:r>
      <w:r>
        <w:t xml:space="preserve">Clean energy / EV infrastructure</w:t>
      </w:r>
    </w:p>
    <w:p>
      <w:pPr>
        <w:pStyle w:val="BodyText"/>
      </w:pPr>
      <w:r>
        <w:rPr>
          <w:b/>
          <w:bCs/>
        </w:rPr>
        <w:t xml:space="preserve">No overlap with NCR Voyix:</w:t>
      </w:r>
      <w:r>
        <w:t xml:space="preserve"> </w:t>
      </w:r>
      <w:r>
        <w:t xml:space="preserve">NCR Voyix operates in retail and banking technology. Elektrokombinacija operates in industrial EV charging infrastructure. These are completely separate industries with no customer overlap, no technology overlap, and no competitive concerns.</w:t>
      </w:r>
    </w:p>
    <w:p>
      <w:r>
        <w:pict>
          <v:rect style="width:0;height:1.5pt" o:hralign="center" o:hrstd="t" o:hr="t"/>
        </w:pict>
      </w:r>
    </w:p>
    <w:bookmarkEnd w:id="20"/>
    <w:bookmarkStart w:id="21" w:name="ip-status"/>
    <w:p>
      <w:pPr>
        <w:pStyle w:val="Heading2"/>
      </w:pPr>
      <w:r>
        <w:t xml:space="preserve">IP Status</w:t>
      </w:r>
    </w:p>
    <w:p>
      <w:pPr>
        <w:pStyle w:val="FirstParagraph"/>
      </w:pPr>
      <w:r>
        <w:rPr>
          <w:b/>
          <w:bCs/>
        </w:rPr>
        <w:t xml:space="preserve">Priority date:</w:t>
      </w:r>
      <w:r>
        <w:t xml:space="preserve"> </w:t>
      </w:r>
      <w:r>
        <w:t xml:space="preserve">January 2, 2026 (documented via blockchain timestamps)</w:t>
      </w:r>
    </w:p>
    <w:p>
      <w:pPr>
        <w:pStyle w:val="BodyText"/>
      </w:pPr>
      <w:r>
        <w:rPr>
          <w:b/>
          <w:bCs/>
        </w:rPr>
        <w:t xml:space="preserve">Patent family:</w:t>
      </w:r>
      <w:r>
        <w:t xml:space="preserve"> </w:t>
      </w:r>
      <w:r>
        <w:t xml:space="preserve">3 provisional patents planned (modular architecture, swap station, fleet logistics)</w:t>
      </w:r>
    </w:p>
    <w:p>
      <w:pPr>
        <w:pStyle w:val="BodyText"/>
      </w:pPr>
      <w:r>
        <w:rPr>
          <w:b/>
          <w:bCs/>
        </w:rPr>
        <w:t xml:space="preserve">Protection:</w:t>
      </w:r>
      <w:r>
        <w:t xml:space="preserve"> </w:t>
      </w:r>
      <w:r>
        <w:t xml:space="preserve">Full IP belongs to Elektrokombinacija BV</w:t>
      </w:r>
    </w:p>
    <w:p>
      <w:r>
        <w:pict>
          <v:rect style="width:0;height:1.5pt" o:hralign="center" o:hrstd="t" o:hr="t"/>
        </w:pict>
      </w:r>
    </w:p>
    <w:bookmarkEnd w:id="21"/>
    <w:bookmarkStart w:id="22" w:name="time-commitment"/>
    <w:p>
      <w:pPr>
        <w:pStyle w:val="Heading2"/>
      </w:pPr>
      <w:r>
        <w:t xml:space="preserve">Time Commitment</w:t>
      </w:r>
    </w:p>
    <w:p>
      <w:pPr>
        <w:pStyle w:val="FirstParagraph"/>
      </w:pPr>
      <w:r>
        <w:t xml:space="preserve">My involvement:</w:t>
      </w:r>
      <w:r>
        <w:t xml:space="preserve"> </w:t>
      </w:r>
      <w:r>
        <w:t xml:space="preserve">-</w:t>
      </w:r>
      <w:r>
        <w:t xml:space="preserve"> </w:t>
      </w:r>
      <w:r>
        <w:rPr>
          <w:b/>
          <w:bCs/>
        </w:rPr>
        <w:t xml:space="preserve">Weekday evenings:</w:t>
      </w:r>
      <w:r>
        <w:t xml:space="preserve"> </w:t>
      </w:r>
      <w:r>
        <w:t xml:space="preserve">Occasional technical questions (minimal)</w:t>
      </w:r>
      <w:r>
        <w:t xml:space="preserve"> </w:t>
      </w:r>
      <w:r>
        <w:t xml:space="preserve">-</w:t>
      </w:r>
      <w:r>
        <w:t xml:space="preserve"> </w:t>
      </w:r>
      <w:r>
        <w:rPr>
          <w:b/>
          <w:bCs/>
        </w:rPr>
        <w:t xml:space="preserve">Weekends:</w:t>
      </w:r>
      <w:r>
        <w:t xml:space="preserve"> </w:t>
      </w:r>
      <w:r>
        <w:t xml:space="preserve">Research collaboration (see 02-ADVISOR-COLLABORATION.md)</w:t>
      </w:r>
      <w:r>
        <w:t xml:space="preserve"> </w:t>
      </w:r>
      <w:r>
        <w:t xml:space="preserve">-</w:t>
      </w:r>
      <w:r>
        <w:t xml:space="preserve"> </w:t>
      </w:r>
      <w:r>
        <w:rPr>
          <w:b/>
          <w:bCs/>
        </w:rPr>
        <w:t xml:space="preserve">NCR Voyix work hours:</w:t>
      </w:r>
      <w:r>
        <w:t xml:space="preserve"> </w:t>
      </w:r>
      <w:r>
        <w:t xml:space="preserve">Zero overlap</w:t>
      </w:r>
    </w:p>
    <w:p>
      <w:pPr>
        <w:pStyle w:val="BodyText"/>
      </w:pPr>
      <w:r>
        <w:t xml:space="preserve">The intensive development phase is behind us. My ongoing involvement is advisory oversight, not active coding.</w:t>
      </w:r>
    </w:p>
    <w:p>
      <w:r>
        <w:pict>
          <v:rect style="width:0;height:1.5pt" o:hralign="center" o:hrstd="t" o:hr="t"/>
        </w:pict>
      </w:r>
    </w:p>
    <w:bookmarkEnd w:id="22"/>
    <w:bookmarkStart w:id="23" w:name="why-this-doesnt-affect-ncr-voyix"/>
    <w:p>
      <w:pPr>
        <w:pStyle w:val="Heading2"/>
      </w:pPr>
      <w:r>
        <w:t xml:space="preserve">Why This Doesn’t Affect NCR Voyix</w:t>
      </w:r>
    </w:p>
    <w:p>
      <w:pPr>
        <w:pStyle w:val="Compact"/>
        <w:numPr>
          <w:ilvl w:val="0"/>
          <w:numId w:val="1003"/>
        </w:numPr>
      </w:pPr>
      <w:r>
        <w:rPr>
          <w:b/>
          <w:bCs/>
        </w:rPr>
        <w:t xml:space="preserve">Different industry</w:t>
      </w:r>
      <w:r>
        <w:t xml:space="preserve"> </w:t>
      </w:r>
      <w:r>
        <w:t xml:space="preserve">- EV infrastructure vs. retail/banking technology</w:t>
      </w:r>
    </w:p>
    <w:p>
      <w:pPr>
        <w:pStyle w:val="Compact"/>
        <w:numPr>
          <w:ilvl w:val="0"/>
          <w:numId w:val="1003"/>
        </w:numPr>
      </w:pPr>
      <w:r>
        <w:rPr>
          <w:b/>
          <w:bCs/>
        </w:rPr>
        <w:t xml:space="preserve">Different customers</w:t>
      </w:r>
      <w:r>
        <w:t xml:space="preserve"> </w:t>
      </w:r>
      <w:r>
        <w:t xml:space="preserve">- Transit authorities vs. retailers/banks</w:t>
      </w:r>
    </w:p>
    <w:p>
      <w:pPr>
        <w:pStyle w:val="Compact"/>
        <w:numPr>
          <w:ilvl w:val="0"/>
          <w:numId w:val="1003"/>
        </w:numPr>
      </w:pPr>
      <w:r>
        <w:rPr>
          <w:b/>
          <w:bCs/>
        </w:rPr>
        <w:t xml:space="preserve">Different technology</w:t>
      </w:r>
      <w:r>
        <w:t xml:space="preserve"> </w:t>
      </w:r>
      <w:r>
        <w:t xml:space="preserve">- Embedded real-time systems vs. enterprise software</w:t>
      </w:r>
    </w:p>
    <w:p>
      <w:pPr>
        <w:pStyle w:val="Compact"/>
        <w:numPr>
          <w:ilvl w:val="0"/>
          <w:numId w:val="1003"/>
        </w:numPr>
      </w:pPr>
      <w:r>
        <w:rPr>
          <w:b/>
          <w:bCs/>
        </w:rPr>
        <w:t xml:space="preserve">Minimal time</w:t>
      </w:r>
      <w:r>
        <w:t xml:space="preserve"> </w:t>
      </w:r>
      <w:r>
        <w:t xml:space="preserve">- Development complete, oversight only</w:t>
      </w:r>
    </w:p>
    <w:p>
      <w:pPr>
        <w:pStyle w:val="Compact"/>
        <w:numPr>
          <w:ilvl w:val="0"/>
          <w:numId w:val="1003"/>
        </w:numPr>
      </w:pPr>
      <w:r>
        <w:rPr>
          <w:b/>
          <w:bCs/>
        </w:rPr>
        <w:t xml:space="preserve">Marija handles business</w:t>
      </w:r>
      <w:r>
        <w:t xml:space="preserve"> </w:t>
      </w:r>
      <w:r>
        <w:t xml:space="preserve">- I’m not the operational driver</w:t>
      </w:r>
    </w:p>
    <w:p>
      <w:r>
        <w:pict>
          <v:rect style="width:0;height:1.5pt" o:hralign="center" o:hrstd="t" o:hr="t"/>
        </w:pict>
      </w:r>
    </w:p>
    <w:p>
      <w:pPr>
        <w:pStyle w:val="FirstParagraph"/>
      </w:pPr>
      <w:r>
        <w:rPr>
          <w:i/>
          <w:iCs/>
        </w:rPr>
        <w:t xml:space="preserve">Document prepared for NCR Voyix internal disclosure, January 2026</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2026-01-21T14:45:35Z</dcterms:created>
  <dcterms:modified xsi:type="dcterms:W3CDTF">2026-01-21T14:45:35Z</dcterms:modified>
</cp:coreProperties>
</file>

<file path=docProps/custom.xml><?xml version="1.0" encoding="utf-8"?>
<Properties xmlns="http://schemas.openxmlformats.org/officeDocument/2006/custom-properties" xmlns:vt="http://schemas.openxmlformats.org/officeDocument/2006/docPropsVTypes"/>
</file>