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554DE2">
      <w:pPr>
        <w:pStyle w:val="2"/>
        <w:widowControl/>
        <w:kinsoku w:val="0"/>
        <w:autoSpaceDE w:val="0"/>
        <w:autoSpaceDN w:val="0"/>
        <w:adjustRightInd w:val="0"/>
        <w:snapToGrid w:val="0"/>
        <w:spacing w:before="150" w:line="219" w:lineRule="auto"/>
        <w:jc w:val="center"/>
        <w:textAlignment w:val="baseline"/>
        <w:outlineLvl w:val="0"/>
        <w:rPr>
          <w:rFonts w:hint="eastAsia"/>
          <w:b/>
          <w:bCs/>
          <w:snapToGrid w:val="0"/>
          <w:color w:val="333333"/>
          <w:spacing w:val="-8"/>
          <w:kern w:val="0"/>
        </w:rPr>
      </w:pPr>
      <w:r>
        <w:rPr>
          <w:b/>
          <w:bCs/>
          <w:snapToGrid w:val="0"/>
          <w:color w:val="333333"/>
          <w:spacing w:val="-8"/>
          <w:kern w:val="0"/>
        </w:rPr>
        <w:t>武汉晴川学院《</w:t>
      </w:r>
      <w:r>
        <w:rPr>
          <w:rFonts w:hint="eastAsia"/>
          <w:b/>
          <w:bCs/>
          <w:snapToGrid w:val="0"/>
          <w:color w:val="333333"/>
          <w:spacing w:val="-8"/>
          <w:kern w:val="0"/>
        </w:rPr>
        <w:t>Python程序设计</w:t>
      </w:r>
      <w:r>
        <w:rPr>
          <w:b/>
          <w:bCs/>
          <w:snapToGrid w:val="0"/>
          <w:color w:val="333333"/>
          <w:spacing w:val="-8"/>
          <w:kern w:val="0"/>
        </w:rPr>
        <w:t>》课程考查方案</w:t>
      </w:r>
    </w:p>
    <w:p w14:paraId="7399B80E">
      <w:pPr>
        <w:pStyle w:val="2"/>
        <w:widowControl/>
        <w:kinsoku w:val="0"/>
        <w:autoSpaceDE w:val="0"/>
        <w:autoSpaceDN w:val="0"/>
        <w:adjustRightInd w:val="0"/>
        <w:snapToGrid w:val="0"/>
        <w:spacing w:before="150" w:line="219" w:lineRule="auto"/>
        <w:jc w:val="center"/>
        <w:textAlignment w:val="baseline"/>
        <w:outlineLvl w:val="0"/>
        <w:rPr>
          <w:rFonts w:hint="eastAsia"/>
          <w:b/>
          <w:bCs/>
          <w:snapToGrid w:val="0"/>
          <w:color w:val="333333"/>
          <w:spacing w:val="-8"/>
          <w:kern w:val="0"/>
        </w:rPr>
      </w:pPr>
      <w:r>
        <w:rPr>
          <w:b/>
          <w:bCs/>
          <w:snapToGrid w:val="0"/>
          <w:color w:val="333333"/>
          <w:spacing w:val="-8"/>
          <w:kern w:val="0"/>
        </w:rPr>
        <w:t>（20</w:t>
      </w:r>
      <w:r>
        <w:rPr>
          <w:rFonts w:hint="eastAsia"/>
          <w:b/>
          <w:bCs/>
          <w:snapToGrid w:val="0"/>
          <w:color w:val="333333"/>
          <w:spacing w:val="-8"/>
          <w:kern w:val="0"/>
        </w:rPr>
        <w:t>25</w:t>
      </w:r>
      <w:r>
        <w:rPr>
          <w:b/>
          <w:bCs/>
          <w:snapToGrid w:val="0"/>
          <w:color w:val="333333"/>
          <w:spacing w:val="-8"/>
          <w:kern w:val="0"/>
        </w:rPr>
        <w:t>－20</w:t>
      </w:r>
      <w:r>
        <w:rPr>
          <w:rFonts w:hint="eastAsia"/>
          <w:b/>
          <w:bCs/>
          <w:snapToGrid w:val="0"/>
          <w:color w:val="333333"/>
          <w:spacing w:val="-8"/>
          <w:kern w:val="0"/>
        </w:rPr>
        <w:t>26</w:t>
      </w:r>
      <w:r>
        <w:rPr>
          <w:b/>
          <w:bCs/>
          <w:snapToGrid w:val="0"/>
          <w:color w:val="333333"/>
          <w:spacing w:val="-8"/>
          <w:kern w:val="0"/>
        </w:rPr>
        <w:t xml:space="preserve">学年第 </w:t>
      </w:r>
      <w:r>
        <w:rPr>
          <w:rFonts w:hint="eastAsia"/>
          <w:b/>
          <w:bCs/>
          <w:snapToGrid w:val="0"/>
          <w:color w:val="333333"/>
          <w:spacing w:val="-8"/>
          <w:kern w:val="0"/>
        </w:rPr>
        <w:t>2</w:t>
      </w:r>
      <w:r>
        <w:rPr>
          <w:b/>
          <w:bCs/>
          <w:snapToGrid w:val="0"/>
          <w:color w:val="333333"/>
          <w:spacing w:val="-8"/>
          <w:kern w:val="0"/>
        </w:rPr>
        <w:t xml:space="preserve"> 学期）</w:t>
      </w:r>
    </w:p>
    <w:p w14:paraId="6B36F2EF">
      <w:pPr>
        <w:widowControl/>
        <w:kinsoku w:val="0"/>
        <w:autoSpaceDE w:val="0"/>
        <w:autoSpaceDN w:val="0"/>
        <w:adjustRightInd w:val="0"/>
        <w:snapToGrid w:val="0"/>
        <w:spacing w:line="472" w:lineRule="auto"/>
        <w:jc w:val="left"/>
        <w:textAlignment w:val="baseline"/>
        <w:rPr>
          <w:rFonts w:ascii="Arial" w:hAnsi="Arial" w:eastAsia="Arial" w:cs="Arial"/>
          <w:snapToGrid w:val="0"/>
          <w:color w:val="000000"/>
          <w:kern w:val="0"/>
          <w:szCs w:val="21"/>
        </w:rPr>
      </w:pPr>
    </w:p>
    <w:p w14:paraId="3612B2C9">
      <w:pPr>
        <w:kinsoku w:val="0"/>
        <w:autoSpaceDE w:val="0"/>
        <w:autoSpaceDN w:val="0"/>
        <w:adjustRightInd w:val="0"/>
        <w:snapToGrid w:val="0"/>
        <w:spacing w:before="91" w:line="216" w:lineRule="auto"/>
        <w:ind w:left="6"/>
        <w:jc w:val="left"/>
        <w:textAlignment w:val="baseline"/>
        <w:rPr>
          <w:rFonts w:hint="eastAsia" w:ascii="仿宋_GB2312" w:hAnsi="仿宋_GB2312" w:eastAsia="仿宋_GB2312" w:cs="仿宋_GB2312"/>
          <w:snapToGrid w:val="0"/>
          <w:color w:val="333333"/>
          <w:spacing w:val="-1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333333"/>
          <w:spacing w:val="-1"/>
          <w:kern w:val="0"/>
          <w:sz w:val="28"/>
          <w:szCs w:val="28"/>
        </w:rPr>
        <w:t>课程学分：2学分                 课程学时：32学时</w:t>
      </w:r>
    </w:p>
    <w:p w14:paraId="1FFFAD65">
      <w:pPr>
        <w:kinsoku w:val="0"/>
        <w:autoSpaceDE w:val="0"/>
        <w:autoSpaceDN w:val="0"/>
        <w:adjustRightInd w:val="0"/>
        <w:snapToGrid w:val="0"/>
        <w:spacing w:before="278" w:line="214" w:lineRule="auto"/>
        <w:ind w:left="9"/>
        <w:jc w:val="left"/>
        <w:textAlignment w:val="baseline"/>
        <w:rPr>
          <w:rFonts w:hint="eastAsia" w:ascii="仿宋_GB2312" w:hAnsi="仿宋_GB2312" w:eastAsia="仿宋_GB2312" w:cs="仿宋_GB2312"/>
          <w:snapToGrid w:val="0"/>
          <w:color w:val="333333"/>
          <w:spacing w:val="-1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333333"/>
          <w:spacing w:val="-1"/>
          <w:kern w:val="0"/>
          <w:sz w:val="28"/>
          <w:szCs w:val="28"/>
        </w:rPr>
        <w:t xml:space="preserve">适用专业：计算机科学与技术、人工智能              </w:t>
      </w:r>
    </w:p>
    <w:p w14:paraId="03F23073">
      <w:pPr>
        <w:kinsoku w:val="0"/>
        <w:autoSpaceDE w:val="0"/>
        <w:autoSpaceDN w:val="0"/>
        <w:adjustRightInd w:val="0"/>
        <w:snapToGrid w:val="0"/>
        <w:spacing w:before="278" w:line="214" w:lineRule="auto"/>
        <w:ind w:left="9"/>
        <w:jc w:val="left"/>
        <w:textAlignment w:val="baseline"/>
        <w:rPr>
          <w:rFonts w:hint="eastAsia" w:ascii="仿宋_GB2312" w:hAnsi="仿宋_GB2312" w:eastAsia="仿宋_GB2312" w:cs="仿宋_GB2312"/>
          <w:snapToGrid w:val="0"/>
          <w:color w:val="333333"/>
          <w:spacing w:val="-1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333333"/>
          <w:spacing w:val="-1"/>
          <w:kern w:val="0"/>
          <w:sz w:val="28"/>
          <w:szCs w:val="28"/>
        </w:rPr>
        <w:t>课程性质：必修课                考核方式：考查</w:t>
      </w:r>
    </w:p>
    <w:p w14:paraId="50687C5B">
      <w:pPr>
        <w:pStyle w:val="2"/>
        <w:widowControl/>
        <w:tabs>
          <w:tab w:val="left" w:pos="5040"/>
        </w:tabs>
        <w:kinsoku w:val="0"/>
        <w:autoSpaceDE w:val="0"/>
        <w:autoSpaceDN w:val="0"/>
        <w:adjustRightInd w:val="0"/>
        <w:snapToGrid w:val="0"/>
        <w:spacing w:before="273" w:line="216" w:lineRule="auto"/>
        <w:ind w:left="25"/>
        <w:jc w:val="left"/>
        <w:textAlignment w:val="baseline"/>
        <w:rPr>
          <w:rFonts w:hint="default" w:eastAsia="仿宋_GB2312"/>
          <w:snapToGrid w:val="0"/>
          <w:color w:val="333333"/>
          <w:spacing w:val="-1"/>
          <w:kern w:val="0"/>
          <w:sz w:val="28"/>
          <w:szCs w:val="28"/>
          <w:lang w:val="en-US" w:eastAsia="zh-CN"/>
        </w:rPr>
      </w:pPr>
      <w:r>
        <w:rPr>
          <w:rFonts w:hint="eastAsia"/>
          <w:snapToGrid w:val="0"/>
          <w:color w:val="333333"/>
          <w:spacing w:val="-1"/>
          <w:kern w:val="0"/>
          <w:sz w:val="28"/>
          <w:szCs w:val="28"/>
        </w:rPr>
        <w:t>编写者： 梁纯、屈卓             编写时间：2026.3.</w:t>
      </w:r>
      <w:r>
        <w:rPr>
          <w:rFonts w:hint="eastAsia"/>
          <w:snapToGrid w:val="0"/>
          <w:color w:val="333333"/>
          <w:spacing w:val="-1"/>
          <w:kern w:val="0"/>
          <w:sz w:val="28"/>
          <w:szCs w:val="28"/>
          <w:lang w:val="en-US" w:eastAsia="zh-CN"/>
        </w:rPr>
        <w:t>15</w:t>
      </w:r>
      <w:bookmarkStart w:id="0" w:name="_GoBack"/>
      <w:bookmarkEnd w:id="0"/>
    </w:p>
    <w:p w14:paraId="3076B0D5">
      <w:pPr>
        <w:pStyle w:val="2"/>
        <w:widowControl/>
        <w:tabs>
          <w:tab w:val="left" w:pos="5040"/>
        </w:tabs>
        <w:kinsoku w:val="0"/>
        <w:autoSpaceDE w:val="0"/>
        <w:autoSpaceDN w:val="0"/>
        <w:adjustRightInd w:val="0"/>
        <w:snapToGrid w:val="0"/>
        <w:spacing w:before="273" w:line="216" w:lineRule="auto"/>
        <w:ind w:left="25"/>
        <w:jc w:val="left"/>
        <w:textAlignment w:val="baseline"/>
        <w:rPr>
          <w:rFonts w:hint="default" w:eastAsia="仿宋_GB2312"/>
          <w:snapToGrid w:val="0"/>
          <w:color w:val="333333"/>
          <w:spacing w:val="-3"/>
          <w:kern w:val="0"/>
          <w:sz w:val="28"/>
          <w:szCs w:val="28"/>
          <w:lang w:val="en-US" w:eastAsia="zh-CN"/>
        </w:rPr>
      </w:pPr>
      <w:r>
        <w:rPr>
          <w:snapToGrid w:val="0"/>
          <w:color w:val="333333"/>
          <w:spacing w:val="-3"/>
          <w:kern w:val="0"/>
          <w:sz w:val="28"/>
          <w:szCs w:val="28"/>
        </w:rPr>
        <w:t>审核者：</w:t>
      </w:r>
      <w:r>
        <w:rPr>
          <w:rFonts w:hint="eastAsia"/>
          <w:snapToGrid w:val="0"/>
          <w:color w:val="333333"/>
          <w:spacing w:val="-3"/>
          <w:kern w:val="0"/>
          <w:sz w:val="28"/>
          <w:szCs w:val="28"/>
        </w:rPr>
        <w:t xml:space="preserve"> </w:t>
      </w:r>
      <w:r>
        <w:rPr>
          <w:rFonts w:hint="eastAsia"/>
          <w:snapToGrid w:val="0"/>
          <w:color w:val="333333"/>
          <w:spacing w:val="-3"/>
          <w:kern w:val="0"/>
          <w:sz w:val="28"/>
          <w:szCs w:val="28"/>
          <w:lang w:val="en-US" w:eastAsia="zh-CN"/>
        </w:rPr>
        <w:t>裴浪</w:t>
      </w:r>
      <w:r>
        <w:rPr>
          <w:rFonts w:hint="eastAsia"/>
          <w:snapToGrid w:val="0"/>
          <w:color w:val="333333"/>
          <w:spacing w:val="-3"/>
          <w:kern w:val="0"/>
          <w:sz w:val="28"/>
          <w:szCs w:val="28"/>
        </w:rPr>
        <w:t xml:space="preserve">    </w:t>
      </w:r>
      <w:r>
        <w:rPr>
          <w:snapToGrid w:val="0"/>
          <w:color w:val="333333"/>
          <w:spacing w:val="-3"/>
          <w:kern w:val="0"/>
          <w:sz w:val="28"/>
          <w:szCs w:val="28"/>
        </w:rPr>
        <w:t xml:space="preserve">   </w:t>
      </w:r>
      <w:r>
        <w:rPr>
          <w:rFonts w:hint="eastAsia"/>
          <w:snapToGrid w:val="0"/>
          <w:color w:val="333333"/>
          <w:spacing w:val="-3"/>
          <w:kern w:val="0"/>
          <w:sz w:val="28"/>
          <w:szCs w:val="28"/>
        </w:rPr>
        <w:t xml:space="preserve">             </w:t>
      </w:r>
      <w:r>
        <w:rPr>
          <w:snapToGrid w:val="0"/>
          <w:color w:val="333333"/>
          <w:spacing w:val="-3"/>
          <w:kern w:val="0"/>
          <w:sz w:val="28"/>
          <w:szCs w:val="28"/>
        </w:rPr>
        <w:t>审核时间：</w:t>
      </w:r>
      <w:r>
        <w:rPr>
          <w:rFonts w:hint="eastAsia"/>
          <w:snapToGrid w:val="0"/>
          <w:color w:val="333333"/>
          <w:spacing w:val="-3"/>
          <w:kern w:val="0"/>
          <w:sz w:val="28"/>
          <w:szCs w:val="28"/>
          <w:lang w:val="en-US" w:eastAsia="zh-CN"/>
        </w:rPr>
        <w:t>2026.3.25</w:t>
      </w:r>
    </w:p>
    <w:p w14:paraId="7E7E5624">
      <w:pPr>
        <w:kinsoku w:val="0"/>
        <w:autoSpaceDE w:val="0"/>
        <w:autoSpaceDN w:val="0"/>
        <w:adjustRightInd w:val="0"/>
        <w:snapToGrid w:val="0"/>
        <w:spacing w:before="312" w:beforeLines="100" w:line="360" w:lineRule="auto"/>
        <w:jc w:val="left"/>
        <w:textAlignment w:val="baseline"/>
        <w:outlineLvl w:val="2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napToGrid w:val="0"/>
          <w:color w:val="333333"/>
          <w:spacing w:val="-6"/>
          <w:kern w:val="0"/>
          <w:sz w:val="28"/>
          <w:szCs w:val="28"/>
        </w:rPr>
        <w:t>一、课程考核目标</w:t>
      </w:r>
    </w:p>
    <w:p w14:paraId="7853C26C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本课程考查旨在评估学生对Python程序设计的综合掌握能力，重点考查以下核心技能：</w:t>
      </w:r>
    </w:p>
    <w:p w14:paraId="642D79F1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技术实践能力：准确运用Python基础语法，熟练操作标准库与第三方库，在编码中体现规范性与程序调试能力。</w:t>
      </w:r>
    </w:p>
    <w:p w14:paraId="5E935C4A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问题解决能力：针对复杂场景完成需求拆解、算法设计与数据结构选择，通过模块化开发实现可扩展的解决方案，体现代码复用性与可维护性。</w:t>
      </w:r>
    </w:p>
    <w:p w14:paraId="4FBBADD8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工程实践素养：遵循敏捷开发流程，具备程序持续优化能力与技术选型判断力，输出技术文档并通过答辩清晰论证技术决策逻辑。</w:t>
      </w:r>
    </w:p>
    <w:p w14:paraId="6F343AFC">
      <w:pPr>
        <w:kinsoku w:val="0"/>
        <w:autoSpaceDE w:val="0"/>
        <w:autoSpaceDN w:val="0"/>
        <w:adjustRightInd w:val="0"/>
        <w:snapToGrid w:val="0"/>
        <w:spacing w:before="312" w:beforeLines="100" w:line="360" w:lineRule="auto"/>
        <w:jc w:val="left"/>
        <w:textAlignment w:val="baseline"/>
        <w:outlineLvl w:val="2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napToGrid w:val="0"/>
          <w:color w:val="333333"/>
          <w:spacing w:val="-6"/>
          <w:kern w:val="0"/>
          <w:sz w:val="28"/>
          <w:szCs w:val="28"/>
        </w:rPr>
        <w:t>二、考核实施方案</w:t>
      </w:r>
    </w:p>
    <w:p w14:paraId="79633874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考核组织形式：分组程序开发，每2-3人一组。</w:t>
      </w:r>
    </w:p>
    <w:p w14:paraId="26A39579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考核要求：提交课程设计报告（包含需求分析、系统设计、系统运行截图等）。</w:t>
      </w:r>
    </w:p>
    <w:p w14:paraId="2AD2F353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现场答辩：每组答辩10分钟，回答教师提问。</w:t>
      </w:r>
    </w:p>
    <w:p w14:paraId="27EE72EC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</w:p>
    <w:p w14:paraId="5D855A5A">
      <w:pPr>
        <w:kinsoku w:val="0"/>
        <w:autoSpaceDE w:val="0"/>
        <w:autoSpaceDN w:val="0"/>
        <w:adjustRightInd w:val="0"/>
        <w:snapToGrid w:val="0"/>
        <w:spacing w:before="312" w:beforeLines="100" w:line="360" w:lineRule="auto"/>
        <w:jc w:val="left"/>
        <w:textAlignment w:val="baseline"/>
        <w:outlineLvl w:val="2"/>
        <w:rPr>
          <w:rFonts w:hint="eastAsia" w:ascii="仿宋_GB2312" w:hAnsi="仿宋_GB2312" w:eastAsia="仿宋_GB2312" w:cs="仿宋_GB2312"/>
          <w:b/>
          <w:bCs/>
          <w:snapToGrid w:val="0"/>
          <w:color w:val="333333"/>
          <w:spacing w:val="-6"/>
          <w:kern w:val="0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napToGrid w:val="0"/>
          <w:color w:val="333333"/>
          <w:spacing w:val="-6"/>
          <w:kern w:val="0"/>
          <w:sz w:val="28"/>
          <w:szCs w:val="28"/>
        </w:rPr>
        <w:t>三、考核</w:t>
      </w:r>
      <w:r>
        <w:rPr>
          <w:rFonts w:hint="eastAsia" w:ascii="仿宋_GB2312" w:hAnsi="仿宋_GB2312" w:eastAsia="仿宋_GB2312" w:cs="仿宋_GB2312"/>
          <w:b/>
          <w:bCs/>
          <w:snapToGrid w:val="0"/>
          <w:color w:val="333333"/>
          <w:spacing w:val="-6"/>
          <w:kern w:val="0"/>
          <w:sz w:val="28"/>
          <w:szCs w:val="28"/>
        </w:rPr>
        <w:t>内容</w:t>
      </w:r>
      <w:r>
        <w:rPr>
          <w:rFonts w:ascii="仿宋_GB2312" w:hAnsi="仿宋_GB2312" w:eastAsia="仿宋_GB2312" w:cs="仿宋_GB2312"/>
          <w:b/>
          <w:bCs/>
          <w:snapToGrid w:val="0"/>
          <w:color w:val="333333"/>
          <w:spacing w:val="-6"/>
          <w:kern w:val="0"/>
          <w:sz w:val="28"/>
          <w:szCs w:val="28"/>
        </w:rPr>
        <w:t>及评分标准（列清考核环节，包括考核时间、内容及具体要求、评分标准等）</w:t>
      </w:r>
    </w:p>
    <w:p w14:paraId="7262556F">
      <w:p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eastAsia" w:ascii="仿宋_GB2312" w:hAnsi="仿宋_GB2312" w:eastAsia="仿宋_GB2312" w:cs="仿宋_GB2312"/>
          <w:b/>
          <w:bCs/>
          <w:snapToGrid w:val="0"/>
          <w:color w:val="333333"/>
          <w:spacing w:val="-6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napToGrid w:val="0"/>
          <w:color w:val="333333"/>
          <w:spacing w:val="-6"/>
          <w:kern w:val="0"/>
          <w:sz w:val="28"/>
          <w:szCs w:val="28"/>
        </w:rPr>
        <w:t>1.考核内容</w:t>
      </w:r>
    </w:p>
    <w:p w14:paraId="41747D28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考查学生对于《</w:t>
      </w:r>
      <w:r>
        <w:rPr>
          <w:rFonts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Python</w:t>
      </w: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程序设计》这门课的应用，学生可以根据自己的兴趣，在以下四个建议方向中任选一个，并自行确定具体的项目主题。</w:t>
      </w:r>
    </w:p>
    <w:p w14:paraId="2CF24EDC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方向一：数据分析与可视化</w:t>
      </w: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：从某个数据源获取数据，进行清洗、分析和可视化，并得出有价值的结论。</w:t>
      </w:r>
    </w:p>
    <w:p w14:paraId="66C813E7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方向二：实用工具开发：开发一个能提升学习、工作效率或解决生活中特定问题的桌面小工具。</w:t>
      </w:r>
    </w:p>
    <w:p w14:paraId="24B077C9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方向三：交互式游戏或艺术创作：利用Python创建具有交互性的游戏或生成式艺术程序。</w:t>
      </w:r>
    </w:p>
    <w:p w14:paraId="20F01EF5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方向四：Web应用与API集成：</w:t>
      </w:r>
      <w:r>
        <w:rPr>
          <w:rFonts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开发一个提供Web服务的程序，或构建一个与互联网API进行交互的客户端。</w:t>
      </w:r>
    </w:p>
    <w:p w14:paraId="36E054AD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学生</w:t>
      </w: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以小组形式</w:t>
      </w:r>
      <w:r>
        <w:rPr>
          <w:rFonts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完成一个综合性Python项目的开发，并提交完整的项目材料。</w:t>
      </w: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包括以下内容：</w:t>
      </w:r>
    </w:p>
    <w:p w14:paraId="571D491D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（1）项目源代码；</w:t>
      </w:r>
    </w:p>
    <w:p w14:paraId="198AB654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（2）项目说明文档  (必须包含：项目简介、功能列表、运行指南、技术说明)</w:t>
      </w:r>
    </w:p>
    <w:p w14:paraId="7981715B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（3）课程设计报告</w:t>
      </w:r>
    </w:p>
    <w:p w14:paraId="75E69CC7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（4）可执行程序或演示视频</w:t>
      </w:r>
    </w:p>
    <w:p w14:paraId="2B196DB7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旨在通过一个完整的项目开发流程，检验学生对以下内容的掌握水平：</w:t>
      </w:r>
    </w:p>
    <w:p w14:paraId="0992BCDB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（1）综合运用Python核心语法（变量、数据类型、流程控制、函数、模块等）。</w:t>
      </w:r>
    </w:p>
    <w:p w14:paraId="5D63D9F3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（2）熟练使用Python高级特性，如文件操作、异常处理、面向</w:t>
      </w:r>
      <w:r>
        <w:rPr>
          <w:rFonts w:hint="eastAsia" w:ascii="仿宋" w:hAnsi="仿宋" w:eastAsia="仿宋" w:cs="仿宋_GB2312"/>
          <w:snapToGrid w:val="0"/>
          <w:color w:val="000000"/>
          <w:kern w:val="0"/>
          <w:sz w:val="28"/>
          <w:szCs w:val="28"/>
        </w:rPr>
        <w:t>对</w:t>
      </w: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象编程等。</w:t>
      </w:r>
    </w:p>
    <w:p w14:paraId="5AAD288D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（3）整合应用至少一个重要的第三方库（如数据处理、图形界面、网络请求等）。</w:t>
      </w:r>
    </w:p>
    <w:p w14:paraId="3FF98AEE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（4）建立规范的代码风格、清晰的程序结构以及基本的项目管理能力。</w:t>
      </w:r>
    </w:p>
    <w:p w14:paraId="7880A506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  <w:t>（5）培养分析问题、设计解决方案和独立调试程序的能力。</w:t>
      </w:r>
    </w:p>
    <w:p w14:paraId="7A47CAA4">
      <w:pPr>
        <w:kinsoku w:val="0"/>
        <w:autoSpaceDE w:val="0"/>
        <w:autoSpaceDN w:val="0"/>
        <w:adjustRightInd w:val="0"/>
        <w:snapToGrid w:val="0"/>
        <w:spacing w:line="360" w:lineRule="auto"/>
        <w:jc w:val="left"/>
        <w:textAlignment w:val="baseline"/>
        <w:rPr>
          <w:rFonts w:hint="eastAsia" w:ascii="仿宋_GB2312" w:hAnsi="仿宋_GB2312" w:eastAsia="仿宋_GB2312" w:cs="仿宋_GB2312"/>
          <w:b/>
          <w:bCs/>
          <w:snapToGrid w:val="0"/>
          <w:color w:val="333333"/>
          <w:spacing w:val="-6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napToGrid w:val="0"/>
          <w:color w:val="333333"/>
          <w:spacing w:val="-6"/>
          <w:kern w:val="0"/>
          <w:sz w:val="28"/>
          <w:szCs w:val="28"/>
        </w:rPr>
        <w:t>2.评分标准</w:t>
      </w:r>
    </w:p>
    <w:p w14:paraId="353B07CE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jc w:val="left"/>
        <w:textAlignment w:val="baseline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" w:hAnsi="仿宋" w:eastAsia="仿宋" w:cs="仿宋_GB2312"/>
          <w:snapToGrid w:val="0"/>
          <w:color w:val="000000"/>
          <w:kern w:val="0"/>
          <w:sz w:val="28"/>
          <w:szCs w:val="28"/>
        </w:rPr>
        <w:t>考核项目评分标准如下所示。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418"/>
        <w:gridCol w:w="3685"/>
        <w:gridCol w:w="1898"/>
      </w:tblGrid>
      <w:tr w14:paraId="5B5E4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689" w:type="dxa"/>
            <w:gridSpan w:val="2"/>
            <w:vAlign w:val="center"/>
          </w:tcPr>
          <w:p w14:paraId="34A74912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napToGrid w:val="0"/>
                <w:color w:val="333333"/>
                <w:spacing w:val="-6"/>
                <w:kern w:val="0"/>
                <w:sz w:val="20"/>
                <w:szCs w:val="21"/>
              </w:rPr>
              <w:t>评阅点</w:t>
            </w:r>
          </w:p>
        </w:tc>
        <w:tc>
          <w:tcPr>
            <w:tcW w:w="3685" w:type="dxa"/>
            <w:vAlign w:val="center"/>
          </w:tcPr>
          <w:p w14:paraId="10AB0C36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napToGrid w:val="0"/>
                <w:color w:val="333333"/>
                <w:spacing w:val="-6"/>
                <w:kern w:val="0"/>
                <w:sz w:val="20"/>
                <w:szCs w:val="21"/>
              </w:rPr>
              <w:t>评分标准</w:t>
            </w:r>
          </w:p>
        </w:tc>
        <w:tc>
          <w:tcPr>
            <w:tcW w:w="1898" w:type="dxa"/>
            <w:vAlign w:val="center"/>
          </w:tcPr>
          <w:p w14:paraId="0D0030D6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b/>
                <w:bCs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napToGrid w:val="0"/>
                <w:color w:val="333333"/>
                <w:spacing w:val="-6"/>
                <w:kern w:val="0"/>
                <w:sz w:val="20"/>
                <w:szCs w:val="21"/>
              </w:rPr>
              <w:t>分值</w:t>
            </w:r>
          </w:p>
        </w:tc>
      </w:tr>
      <w:tr w14:paraId="78F99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vMerge w:val="restart"/>
            <w:vAlign w:val="center"/>
          </w:tcPr>
          <w:p w14:paraId="4A79BC81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Cs w:val="21"/>
              </w:rPr>
              <w:t>项目开发</w:t>
            </w:r>
          </w:p>
          <w:p w14:paraId="3B41796E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Cs w:val="21"/>
              </w:rPr>
              <w:t>60分</w:t>
            </w:r>
          </w:p>
        </w:tc>
        <w:tc>
          <w:tcPr>
            <w:tcW w:w="1418" w:type="dxa"/>
            <w:vMerge w:val="restart"/>
            <w:vAlign w:val="center"/>
          </w:tcPr>
          <w:p w14:paraId="59DC3F42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功能完整性</w:t>
            </w:r>
          </w:p>
        </w:tc>
        <w:tc>
          <w:tcPr>
            <w:tcW w:w="3685" w:type="dxa"/>
            <w:vAlign w:val="center"/>
          </w:tcPr>
          <w:p w14:paraId="7173C00F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基础功能实现：完成了项目说明中定义的核心、必备的功能模块。</w:t>
            </w:r>
          </w:p>
        </w:tc>
        <w:tc>
          <w:tcPr>
            <w:tcW w:w="1898" w:type="dxa"/>
            <w:vAlign w:val="center"/>
          </w:tcPr>
          <w:p w14:paraId="009BEDAC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20</w:t>
            </w:r>
          </w:p>
        </w:tc>
      </w:tr>
      <w:tr w14:paraId="41640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vMerge w:val="continue"/>
            <w:vAlign w:val="center"/>
          </w:tcPr>
          <w:p w14:paraId="1AA72C1C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</w:p>
        </w:tc>
        <w:tc>
          <w:tcPr>
            <w:tcW w:w="1418" w:type="dxa"/>
            <w:vMerge w:val="continue"/>
            <w:vAlign w:val="center"/>
          </w:tcPr>
          <w:p w14:paraId="1A53F6A1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</w:p>
        </w:tc>
        <w:tc>
          <w:tcPr>
            <w:tcW w:w="3685" w:type="dxa"/>
            <w:vAlign w:val="center"/>
          </w:tcPr>
          <w:p w14:paraId="22294AC4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扩展功能实现：在基础功能之上，实现了额外的、提升体验的增强功能。</w:t>
            </w:r>
          </w:p>
        </w:tc>
        <w:tc>
          <w:tcPr>
            <w:tcW w:w="1898" w:type="dxa"/>
            <w:vAlign w:val="center"/>
          </w:tcPr>
          <w:p w14:paraId="25261799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10</w:t>
            </w:r>
          </w:p>
        </w:tc>
      </w:tr>
      <w:tr w14:paraId="75811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vMerge w:val="continue"/>
            <w:vAlign w:val="center"/>
          </w:tcPr>
          <w:p w14:paraId="3644E08A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0B66F17E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代码质量</w:t>
            </w:r>
          </w:p>
        </w:tc>
        <w:tc>
          <w:tcPr>
            <w:tcW w:w="3685" w:type="dxa"/>
            <w:vAlign w:val="center"/>
          </w:tcPr>
          <w:p w14:paraId="074B1CB5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模块化设计：代码逻辑清晰，合理使用了函数和类来组织程序结构。</w:t>
            </w:r>
          </w:p>
        </w:tc>
        <w:tc>
          <w:tcPr>
            <w:tcW w:w="1898" w:type="dxa"/>
            <w:vAlign w:val="center"/>
          </w:tcPr>
          <w:p w14:paraId="67990C7D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10</w:t>
            </w:r>
          </w:p>
        </w:tc>
      </w:tr>
      <w:tr w14:paraId="4502C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vMerge w:val="continue"/>
            <w:vAlign w:val="center"/>
          </w:tcPr>
          <w:p w14:paraId="7417B7D8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</w:p>
        </w:tc>
        <w:tc>
          <w:tcPr>
            <w:tcW w:w="1418" w:type="dxa"/>
            <w:vMerge w:val="continue"/>
            <w:vAlign w:val="center"/>
          </w:tcPr>
          <w:p w14:paraId="4CF4C3CB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</w:p>
        </w:tc>
        <w:tc>
          <w:tcPr>
            <w:tcW w:w="3685" w:type="dxa"/>
            <w:vAlign w:val="center"/>
          </w:tcPr>
          <w:p w14:paraId="650812FE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关键代码注释：在复杂算法或逻辑处添加了简明注释，便于理解代码意图。</w:t>
            </w:r>
          </w:p>
        </w:tc>
        <w:tc>
          <w:tcPr>
            <w:tcW w:w="1898" w:type="dxa"/>
            <w:vAlign w:val="center"/>
          </w:tcPr>
          <w:p w14:paraId="01CD88B9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5</w:t>
            </w:r>
          </w:p>
        </w:tc>
      </w:tr>
      <w:tr w14:paraId="621D67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vMerge w:val="continue"/>
            <w:vAlign w:val="center"/>
          </w:tcPr>
          <w:p w14:paraId="1724E095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7CC866ED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错误处理</w:t>
            </w:r>
          </w:p>
        </w:tc>
        <w:tc>
          <w:tcPr>
            <w:tcW w:w="3685" w:type="dxa"/>
            <w:vAlign w:val="center"/>
          </w:tcPr>
          <w:p w14:paraId="2F219825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捕获预期异常：对可能出现的异常（如文件不存在、输入错误）进行了处理。</w:t>
            </w:r>
          </w:p>
        </w:tc>
        <w:tc>
          <w:tcPr>
            <w:tcW w:w="1898" w:type="dxa"/>
            <w:vAlign w:val="center"/>
          </w:tcPr>
          <w:p w14:paraId="36D69BA2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5</w:t>
            </w:r>
          </w:p>
        </w:tc>
      </w:tr>
      <w:tr w14:paraId="69326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vMerge w:val="continue"/>
            <w:vAlign w:val="center"/>
          </w:tcPr>
          <w:p w14:paraId="1D1F18D0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</w:p>
        </w:tc>
        <w:tc>
          <w:tcPr>
            <w:tcW w:w="1418" w:type="dxa"/>
            <w:vMerge w:val="continue"/>
            <w:vAlign w:val="center"/>
          </w:tcPr>
          <w:p w14:paraId="4D07A98C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</w:p>
        </w:tc>
        <w:tc>
          <w:tcPr>
            <w:tcW w:w="3685" w:type="dxa"/>
            <w:vAlign w:val="center"/>
          </w:tcPr>
          <w:p w14:paraId="3A002C5D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提供友好错误提示：当操作出错时，能向用户给出明确、友好的提示信息。</w:t>
            </w:r>
          </w:p>
        </w:tc>
        <w:tc>
          <w:tcPr>
            <w:tcW w:w="1898" w:type="dxa"/>
            <w:vAlign w:val="center"/>
          </w:tcPr>
          <w:p w14:paraId="33B2B0B8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5</w:t>
            </w:r>
          </w:p>
        </w:tc>
      </w:tr>
      <w:tr w14:paraId="015CE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vMerge w:val="continue"/>
            <w:vAlign w:val="center"/>
          </w:tcPr>
          <w:p w14:paraId="4CBB7001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4DC4AF27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创新性与复杂度</w:t>
            </w:r>
          </w:p>
        </w:tc>
        <w:tc>
          <w:tcPr>
            <w:tcW w:w="3685" w:type="dxa"/>
            <w:vAlign w:val="center"/>
          </w:tcPr>
          <w:p w14:paraId="0D804E60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使用进阶技术：合理应用了超出课程基础要求的技术或算法解决问题。</w:t>
            </w:r>
          </w:p>
        </w:tc>
        <w:tc>
          <w:tcPr>
            <w:tcW w:w="1898" w:type="dxa"/>
            <w:vAlign w:val="center"/>
          </w:tcPr>
          <w:p w14:paraId="0E4B7F3C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5</w:t>
            </w:r>
          </w:p>
        </w:tc>
      </w:tr>
      <w:tr w14:paraId="3F99F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vMerge w:val="restart"/>
            <w:vAlign w:val="center"/>
          </w:tcPr>
          <w:p w14:paraId="64814DFC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Cs w:val="21"/>
              </w:rPr>
              <w:t>课程设计报告</w:t>
            </w:r>
          </w:p>
          <w:p w14:paraId="4F999C75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Cs w:val="21"/>
              </w:rPr>
              <w:t>30分</w:t>
            </w:r>
          </w:p>
        </w:tc>
        <w:tc>
          <w:tcPr>
            <w:tcW w:w="1418" w:type="dxa"/>
            <w:vMerge w:val="restart"/>
            <w:vAlign w:val="center"/>
          </w:tcPr>
          <w:p w14:paraId="531406A0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需求分析</w:t>
            </w:r>
          </w:p>
        </w:tc>
        <w:tc>
          <w:tcPr>
            <w:tcW w:w="3685" w:type="dxa"/>
            <w:vAlign w:val="center"/>
          </w:tcPr>
          <w:p w14:paraId="424F04F6">
            <w:p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明确功能需求：以文字形式清晰、无歧义地列出了项目需要实现的功能清单。</w:t>
            </w:r>
          </w:p>
        </w:tc>
        <w:tc>
          <w:tcPr>
            <w:tcW w:w="1898" w:type="dxa"/>
            <w:vAlign w:val="center"/>
          </w:tcPr>
          <w:p w14:paraId="6C7E2D3A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5</w:t>
            </w:r>
          </w:p>
        </w:tc>
      </w:tr>
      <w:tr w14:paraId="779D4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vMerge w:val="continue"/>
            <w:vAlign w:val="center"/>
          </w:tcPr>
          <w:p w14:paraId="11C2C59D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</w:p>
        </w:tc>
        <w:tc>
          <w:tcPr>
            <w:tcW w:w="1418" w:type="dxa"/>
            <w:vMerge w:val="continue"/>
            <w:vAlign w:val="center"/>
          </w:tcPr>
          <w:p w14:paraId="7823D0FA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</w:p>
        </w:tc>
        <w:tc>
          <w:tcPr>
            <w:tcW w:w="3685" w:type="dxa"/>
            <w:vAlign w:val="center"/>
          </w:tcPr>
          <w:p w14:paraId="111508D3">
            <w:p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使用用例图描述需求：使用UML用例图直观地展示了系统与外部用户的交互关系。</w:t>
            </w:r>
          </w:p>
        </w:tc>
        <w:tc>
          <w:tcPr>
            <w:tcW w:w="1898" w:type="dxa"/>
            <w:vAlign w:val="center"/>
          </w:tcPr>
          <w:p w14:paraId="6F003FD2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5</w:t>
            </w:r>
          </w:p>
        </w:tc>
      </w:tr>
      <w:tr w14:paraId="4BEF90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vMerge w:val="continue"/>
            <w:vAlign w:val="center"/>
          </w:tcPr>
          <w:p w14:paraId="6872FD9F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</w:p>
        </w:tc>
        <w:tc>
          <w:tcPr>
            <w:tcW w:w="1418" w:type="dxa"/>
            <w:vMerge w:val="restart"/>
            <w:vAlign w:val="center"/>
          </w:tcPr>
          <w:p w14:paraId="1E78B579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系统设计</w:t>
            </w:r>
          </w:p>
        </w:tc>
        <w:tc>
          <w:tcPr>
            <w:tcW w:w="3685" w:type="dxa"/>
            <w:vAlign w:val="center"/>
          </w:tcPr>
          <w:p w14:paraId="17D6AE56">
            <w:pPr>
              <w:kinsoku w:val="0"/>
              <w:autoSpaceDE w:val="0"/>
              <w:autoSpaceDN w:val="0"/>
              <w:adjustRightInd w:val="0"/>
              <w:snapToGrid w:val="0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流程图/类图清晰：使用流程图或类图等标准图表，清晰地描述了程序逻辑或结构。</w:t>
            </w:r>
          </w:p>
        </w:tc>
        <w:tc>
          <w:tcPr>
            <w:tcW w:w="1898" w:type="dxa"/>
            <w:vAlign w:val="center"/>
          </w:tcPr>
          <w:p w14:paraId="21EAE8BE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5</w:t>
            </w:r>
          </w:p>
        </w:tc>
      </w:tr>
      <w:tr w14:paraId="0DFF3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vMerge w:val="continue"/>
            <w:vAlign w:val="center"/>
          </w:tcPr>
          <w:p w14:paraId="4079D473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</w:p>
        </w:tc>
        <w:tc>
          <w:tcPr>
            <w:tcW w:w="1418" w:type="dxa"/>
            <w:vMerge w:val="continue"/>
            <w:vAlign w:val="center"/>
          </w:tcPr>
          <w:p w14:paraId="1CD82708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</w:p>
        </w:tc>
        <w:tc>
          <w:tcPr>
            <w:tcW w:w="3685" w:type="dxa"/>
            <w:vAlign w:val="center"/>
          </w:tcPr>
          <w:p w14:paraId="2B5E1CEC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模块划分与接口说明：说明了程序由哪些模块组成，以及模块之间的调用关系。</w:t>
            </w:r>
          </w:p>
        </w:tc>
        <w:tc>
          <w:tcPr>
            <w:tcW w:w="1898" w:type="dxa"/>
            <w:vAlign w:val="center"/>
          </w:tcPr>
          <w:p w14:paraId="54885A5B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5</w:t>
            </w:r>
          </w:p>
        </w:tc>
      </w:tr>
      <w:tr w14:paraId="7A72DE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vMerge w:val="continue"/>
            <w:vAlign w:val="center"/>
          </w:tcPr>
          <w:p w14:paraId="144661BE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6B207C87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成果展示</w:t>
            </w:r>
          </w:p>
        </w:tc>
        <w:tc>
          <w:tcPr>
            <w:tcW w:w="3685" w:type="dxa"/>
            <w:vAlign w:val="center"/>
          </w:tcPr>
          <w:p w14:paraId="58564452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截图清晰、完整：通过程序运行截图，完整、直观地展示了各项功能的实现效果。</w:t>
            </w:r>
          </w:p>
        </w:tc>
        <w:tc>
          <w:tcPr>
            <w:tcW w:w="1898" w:type="dxa"/>
            <w:vAlign w:val="center"/>
          </w:tcPr>
          <w:p w14:paraId="0087F29B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5</w:t>
            </w:r>
          </w:p>
        </w:tc>
      </w:tr>
      <w:tr w14:paraId="7F51A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vMerge w:val="continue"/>
            <w:vAlign w:val="center"/>
          </w:tcPr>
          <w:p w14:paraId="23D29FED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624E0E5A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格式规范</w:t>
            </w:r>
          </w:p>
        </w:tc>
        <w:tc>
          <w:tcPr>
            <w:tcW w:w="3685" w:type="dxa"/>
            <w:vAlign w:val="center"/>
          </w:tcPr>
          <w:p w14:paraId="678988EE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目录结构清晰：报告具有清晰的章节结构和格式，易于阅读和审阅。</w:t>
            </w:r>
          </w:p>
        </w:tc>
        <w:tc>
          <w:tcPr>
            <w:tcW w:w="1898" w:type="dxa"/>
            <w:vAlign w:val="center"/>
          </w:tcPr>
          <w:p w14:paraId="2257046E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5</w:t>
            </w:r>
          </w:p>
        </w:tc>
      </w:tr>
      <w:tr w14:paraId="5B686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vMerge w:val="restart"/>
            <w:vAlign w:val="center"/>
          </w:tcPr>
          <w:p w14:paraId="7B8D1F1F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Cs w:val="21"/>
              </w:rPr>
              <w:t>答辩演示</w:t>
            </w:r>
          </w:p>
          <w:p w14:paraId="6FEFE278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Cs w:val="21"/>
              </w:rPr>
              <w:t>10分</w:t>
            </w:r>
          </w:p>
        </w:tc>
        <w:tc>
          <w:tcPr>
            <w:tcW w:w="1418" w:type="dxa"/>
            <w:vAlign w:val="center"/>
          </w:tcPr>
          <w:p w14:paraId="60CFF952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演示效果</w:t>
            </w:r>
          </w:p>
        </w:tc>
        <w:tc>
          <w:tcPr>
            <w:tcW w:w="3685" w:type="dxa"/>
            <w:vAlign w:val="center"/>
          </w:tcPr>
          <w:p w14:paraId="259CB600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核心功能演示完整：能在规定时间内，流畅、无重大错误地演示项目的核心功能。</w:t>
            </w:r>
          </w:p>
        </w:tc>
        <w:tc>
          <w:tcPr>
            <w:tcW w:w="1898" w:type="dxa"/>
            <w:vAlign w:val="center"/>
          </w:tcPr>
          <w:p w14:paraId="07FEF778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5</w:t>
            </w:r>
          </w:p>
        </w:tc>
      </w:tr>
      <w:tr w14:paraId="4C68E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1271" w:type="dxa"/>
            <w:vMerge w:val="continue"/>
            <w:vAlign w:val="center"/>
          </w:tcPr>
          <w:p w14:paraId="4F07CE3A">
            <w:pPr>
              <w:kinsoku w:val="0"/>
              <w:autoSpaceDE w:val="0"/>
              <w:autoSpaceDN w:val="0"/>
              <w:adjustRightInd w:val="0"/>
              <w:snapToGrid w:val="0"/>
              <w:spacing w:before="306"/>
              <w:jc w:val="left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</w:p>
        </w:tc>
        <w:tc>
          <w:tcPr>
            <w:tcW w:w="1418" w:type="dxa"/>
            <w:vAlign w:val="center"/>
          </w:tcPr>
          <w:p w14:paraId="797F79C8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问答环节</w:t>
            </w:r>
          </w:p>
        </w:tc>
        <w:tc>
          <w:tcPr>
            <w:tcW w:w="3685" w:type="dxa"/>
            <w:vAlign w:val="center"/>
          </w:tcPr>
          <w:p w14:paraId="2A6FF162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准确回答技术问题：能准确理解并回答出关于项目实现技术细节的相关问题。</w:t>
            </w:r>
          </w:p>
        </w:tc>
        <w:tc>
          <w:tcPr>
            <w:tcW w:w="1898" w:type="dxa"/>
            <w:vAlign w:val="center"/>
          </w:tcPr>
          <w:p w14:paraId="238BFCAB">
            <w:pPr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</w:pPr>
            <w:r>
              <w:rPr>
                <w:rFonts w:hint="eastAsia" w:ascii="仿宋_GB2312" w:hAnsi="仿宋_GB2312" w:eastAsia="仿宋_GB2312" w:cs="仿宋_GB2312"/>
                <w:snapToGrid w:val="0"/>
                <w:color w:val="333333"/>
                <w:spacing w:val="-6"/>
                <w:kern w:val="0"/>
                <w:sz w:val="20"/>
                <w:szCs w:val="21"/>
              </w:rPr>
              <w:t>5</w:t>
            </w:r>
          </w:p>
        </w:tc>
      </w:tr>
    </w:tbl>
    <w:p w14:paraId="3FD55462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jc w:val="left"/>
        <w:textAlignment w:val="baseline"/>
        <w:rPr>
          <w:rFonts w:hint="eastAsia" w:ascii="仿宋" w:hAnsi="仿宋" w:eastAsia="仿宋" w:cs="仿宋_GB2312"/>
          <w:snapToGrid w:val="0"/>
          <w:color w:val="000000"/>
          <w:kern w:val="0"/>
          <w:sz w:val="28"/>
          <w:szCs w:val="28"/>
        </w:rPr>
      </w:pPr>
    </w:p>
    <w:p w14:paraId="7534BC70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" w:hAnsi="仿宋" w:eastAsia="仿宋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" w:hAnsi="仿宋" w:eastAsia="仿宋" w:cs="仿宋_GB2312"/>
          <w:snapToGrid w:val="0"/>
          <w:color w:val="000000"/>
          <w:kern w:val="0"/>
          <w:sz w:val="28"/>
          <w:szCs w:val="28"/>
        </w:rPr>
        <w:t>分数说明：</w:t>
      </w:r>
    </w:p>
    <w:p w14:paraId="032E096E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" w:hAnsi="仿宋" w:eastAsia="仿宋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" w:hAnsi="仿宋" w:eastAsia="仿宋" w:cs="仿宋_GB2312"/>
          <w:snapToGrid w:val="0"/>
          <w:color w:val="000000"/>
          <w:kern w:val="0"/>
          <w:sz w:val="28"/>
          <w:szCs w:val="28"/>
        </w:rPr>
        <w:t>优秀：开发能力强，工作量饱满，工作态度积极，计各分值0.9-1.0系数；</w:t>
      </w:r>
    </w:p>
    <w:p w14:paraId="182C7470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" w:hAnsi="仿宋" w:eastAsia="仿宋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" w:hAnsi="仿宋" w:eastAsia="仿宋" w:cs="仿宋_GB2312"/>
          <w:snapToGrid w:val="0"/>
          <w:color w:val="000000"/>
          <w:kern w:val="0"/>
          <w:sz w:val="28"/>
          <w:szCs w:val="28"/>
        </w:rPr>
        <w:t>良好：开发能力较强，工作量较饱满，工作态度认真，计各分值0.8系数；</w:t>
      </w:r>
    </w:p>
    <w:p w14:paraId="7C7BBE5C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" w:hAnsi="仿宋" w:eastAsia="仿宋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" w:hAnsi="仿宋" w:eastAsia="仿宋" w:cs="仿宋_GB2312"/>
          <w:snapToGrid w:val="0"/>
          <w:color w:val="000000"/>
          <w:kern w:val="0"/>
          <w:sz w:val="28"/>
          <w:szCs w:val="28"/>
        </w:rPr>
        <w:t>中等：开发能力中等，工作量适中，工作态度较认真，计各分值0.7系数；</w:t>
      </w:r>
    </w:p>
    <w:p w14:paraId="082686E0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" w:hAnsi="仿宋" w:eastAsia="仿宋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" w:hAnsi="仿宋" w:eastAsia="仿宋" w:cs="仿宋_GB2312"/>
          <w:snapToGrid w:val="0"/>
          <w:color w:val="000000"/>
          <w:kern w:val="0"/>
          <w:sz w:val="28"/>
          <w:szCs w:val="28"/>
        </w:rPr>
        <w:t>及格：开发能力一般，工作量偏少，工作态度一般，计各分值0.6系数；</w:t>
      </w:r>
    </w:p>
    <w:p w14:paraId="59DA947A">
      <w:pPr>
        <w:autoSpaceDE w:val="0"/>
        <w:autoSpaceDN w:val="0"/>
        <w:adjustRightInd w:val="0"/>
        <w:snapToGrid w:val="0"/>
        <w:spacing w:line="360" w:lineRule="auto"/>
        <w:ind w:firstLine="560" w:firstLineChars="200"/>
        <w:textAlignment w:val="baseline"/>
        <w:rPr>
          <w:rFonts w:hint="eastAsia" w:ascii="仿宋" w:hAnsi="仿宋" w:eastAsia="仿宋" w:cs="仿宋_GB2312"/>
          <w:snapToGrid w:val="0"/>
          <w:color w:val="000000"/>
          <w:kern w:val="0"/>
          <w:sz w:val="28"/>
          <w:szCs w:val="28"/>
        </w:rPr>
      </w:pPr>
      <w:r>
        <w:rPr>
          <w:rFonts w:hint="eastAsia" w:ascii="仿宋" w:hAnsi="仿宋" w:eastAsia="仿宋" w:cs="仿宋_GB2312"/>
          <w:snapToGrid w:val="0"/>
          <w:color w:val="000000"/>
          <w:kern w:val="0"/>
          <w:sz w:val="28"/>
          <w:szCs w:val="28"/>
        </w:rPr>
        <w:t>不及格：开发能力较弱，工作量少，工作态度不认真，计不及格。</w:t>
      </w:r>
    </w:p>
    <w:p w14:paraId="431F0B70">
      <w:pPr>
        <w:kinsoku w:val="0"/>
        <w:autoSpaceDE w:val="0"/>
        <w:autoSpaceDN w:val="0"/>
        <w:adjustRightInd w:val="0"/>
        <w:snapToGrid w:val="0"/>
        <w:spacing w:before="264" w:line="214" w:lineRule="auto"/>
        <w:jc w:val="left"/>
        <w:textAlignment w:val="baseline"/>
        <w:outlineLvl w:val="2"/>
        <w:rPr>
          <w:rFonts w:hint="eastAsia" w:ascii="仿宋_GB2312" w:hAnsi="仿宋_GB2312" w:eastAsia="仿宋_GB2312" w:cs="仿宋_GB2312"/>
          <w:snapToGrid w:val="0"/>
          <w:color w:val="000000"/>
          <w:kern w:val="0"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napToGrid w:val="0"/>
          <w:color w:val="333333"/>
          <w:spacing w:val="-6"/>
          <w:kern w:val="0"/>
          <w:sz w:val="28"/>
          <w:szCs w:val="28"/>
        </w:rPr>
        <w:t>四、考核形式及成绩占比</w:t>
      </w:r>
    </w:p>
    <w:p w14:paraId="34F9F9A7">
      <w:pPr>
        <w:kinsoku w:val="0"/>
        <w:autoSpaceDE w:val="0"/>
        <w:autoSpaceDN w:val="0"/>
        <w:adjustRightInd w:val="0"/>
        <w:snapToGrid w:val="0"/>
        <w:spacing w:before="92" w:line="460" w:lineRule="exact"/>
        <w:ind w:left="45" w:right="329" w:firstLine="595"/>
        <w:textAlignment w:val="baseline"/>
        <w:rPr>
          <w:rFonts w:hint="eastAsia" w:ascii="仿宋" w:hAnsi="仿宋" w:eastAsia="仿宋" w:cs="仿宋_GB2312"/>
          <w:snapToGrid w:val="0"/>
          <w:color w:val="333333"/>
          <w:spacing w:val="8"/>
          <w:kern w:val="0"/>
          <w:sz w:val="28"/>
          <w:szCs w:val="28"/>
        </w:rPr>
      </w:pPr>
      <w:r>
        <w:rPr>
          <w:rFonts w:ascii="仿宋" w:hAnsi="仿宋" w:eastAsia="仿宋" w:cs="仿宋_GB2312"/>
          <w:snapToGrid w:val="0"/>
          <w:color w:val="000000"/>
          <w:kern w:val="0"/>
          <w:sz w:val="28"/>
          <w:szCs w:val="28"/>
        </w:rPr>
        <w:t>本课程按照百分制模式进行考核，课程综合成绩总计满分为 100 分，</w:t>
      </w:r>
      <w:r>
        <w:rPr>
          <w:rFonts w:hint="eastAsia" w:ascii="仿宋" w:hAnsi="仿宋" w:eastAsia="仿宋" w:cs="仿宋_GB2312"/>
          <w:snapToGrid w:val="0"/>
          <w:color w:val="333333"/>
          <w:spacing w:val="8"/>
          <w:kern w:val="0"/>
          <w:sz w:val="28"/>
          <w:szCs w:val="28"/>
        </w:rPr>
        <w:t>综合成绩由过程性考核成绩和终结性考核成绩组成。</w:t>
      </w:r>
      <w:r>
        <w:rPr>
          <w:rFonts w:ascii="仿宋" w:hAnsi="仿宋" w:eastAsia="仿宋" w:cs="仿宋_GB2312"/>
          <w:snapToGrid w:val="0"/>
          <w:color w:val="000000"/>
          <w:kern w:val="0"/>
          <w:sz w:val="28"/>
          <w:szCs w:val="28"/>
        </w:rPr>
        <w:t>其中</w:t>
      </w:r>
      <w:r>
        <w:rPr>
          <w:rFonts w:hint="eastAsia" w:ascii="仿宋" w:hAnsi="仿宋" w:eastAsia="仿宋" w:cs="仿宋_GB2312"/>
          <w:snapToGrid w:val="0"/>
          <w:color w:val="000000"/>
          <w:kern w:val="0"/>
          <w:sz w:val="28"/>
          <w:szCs w:val="28"/>
        </w:rPr>
        <w:t>过程</w:t>
      </w:r>
      <w:r>
        <w:rPr>
          <w:rFonts w:ascii="仿宋" w:hAnsi="仿宋" w:eastAsia="仿宋" w:cs="仿宋_GB2312"/>
          <w:snapToGrid w:val="0"/>
          <w:color w:val="000000"/>
          <w:kern w:val="0"/>
          <w:sz w:val="28"/>
          <w:szCs w:val="28"/>
        </w:rPr>
        <w:t xml:space="preserve">考核占 </w:t>
      </w:r>
      <w:r>
        <w:rPr>
          <w:rFonts w:hint="eastAsia" w:ascii="仿宋" w:hAnsi="仿宋" w:eastAsia="仿宋" w:cs="仿宋_GB2312"/>
          <w:snapToGrid w:val="0"/>
          <w:color w:val="000000"/>
          <w:kern w:val="0"/>
          <w:sz w:val="28"/>
          <w:szCs w:val="28"/>
        </w:rPr>
        <w:t>40</w:t>
      </w:r>
      <w:r>
        <w:rPr>
          <w:rFonts w:ascii="仿宋" w:hAnsi="仿宋" w:eastAsia="仿宋" w:cs="仿宋_GB2312"/>
          <w:snapToGrid w:val="0"/>
          <w:color w:val="000000"/>
          <w:kern w:val="0"/>
          <w:sz w:val="28"/>
          <w:szCs w:val="28"/>
        </w:rPr>
        <w:t>%、</w:t>
      </w:r>
      <w:r>
        <w:rPr>
          <w:rFonts w:hint="eastAsia" w:ascii="仿宋" w:hAnsi="仿宋" w:eastAsia="仿宋" w:cs="仿宋_GB2312"/>
          <w:snapToGrid w:val="0"/>
          <w:color w:val="000000"/>
          <w:kern w:val="0"/>
          <w:sz w:val="28"/>
          <w:szCs w:val="28"/>
        </w:rPr>
        <w:t>终结性考核</w:t>
      </w:r>
      <w:r>
        <w:rPr>
          <w:rFonts w:ascii="仿宋" w:hAnsi="仿宋" w:eastAsia="仿宋" w:cs="仿宋_GB2312"/>
          <w:snapToGrid w:val="0"/>
          <w:color w:val="000000"/>
          <w:kern w:val="0"/>
          <w:sz w:val="28"/>
          <w:szCs w:val="28"/>
        </w:rPr>
        <w:t xml:space="preserve">占 </w:t>
      </w:r>
      <w:r>
        <w:rPr>
          <w:rFonts w:hint="eastAsia" w:ascii="仿宋" w:hAnsi="仿宋" w:eastAsia="仿宋" w:cs="仿宋_GB2312"/>
          <w:snapToGrid w:val="0"/>
          <w:color w:val="000000"/>
          <w:kern w:val="0"/>
          <w:sz w:val="28"/>
          <w:szCs w:val="28"/>
        </w:rPr>
        <w:t>60</w:t>
      </w:r>
      <w:r>
        <w:rPr>
          <w:rFonts w:ascii="仿宋" w:hAnsi="仿宋" w:eastAsia="仿宋" w:cs="仿宋_GB2312"/>
          <w:snapToGrid w:val="0"/>
          <w:color w:val="000000"/>
          <w:kern w:val="0"/>
          <w:sz w:val="28"/>
          <w:szCs w:val="28"/>
        </w:rPr>
        <w:t>%</w:t>
      </w:r>
      <w:r>
        <w:rPr>
          <w:rFonts w:hint="eastAsia" w:ascii="仿宋" w:hAnsi="仿宋" w:eastAsia="仿宋" w:cs="仿宋_GB2312"/>
          <w:snapToGrid w:val="0"/>
          <w:color w:val="000000"/>
          <w:kern w:val="0"/>
          <w:sz w:val="28"/>
          <w:szCs w:val="28"/>
        </w:rPr>
        <w:t>。</w:t>
      </w:r>
      <w:r>
        <w:rPr>
          <w:rFonts w:hint="eastAsia" w:ascii="仿宋" w:hAnsi="仿宋" w:eastAsia="仿宋" w:cs="仿宋_GB2312"/>
          <w:snapToGrid w:val="0"/>
          <w:color w:val="333333"/>
          <w:spacing w:val="8"/>
          <w:kern w:val="0"/>
          <w:sz w:val="28"/>
          <w:szCs w:val="28"/>
        </w:rPr>
        <w:t>过程性考核成绩由课堂表现、实验组成。其中课堂表现占20%，平时作业占40%，实验占40%。</w:t>
      </w:r>
    </w:p>
    <w:p w14:paraId="105E3F35">
      <w:pPr>
        <w:kinsoku w:val="0"/>
        <w:autoSpaceDE w:val="0"/>
        <w:autoSpaceDN w:val="0"/>
        <w:adjustRightInd w:val="0"/>
        <w:snapToGrid w:val="0"/>
        <w:spacing w:before="92" w:line="460" w:lineRule="exact"/>
        <w:ind w:left="45" w:right="329" w:firstLine="595"/>
        <w:jc w:val="left"/>
        <w:textAlignment w:val="baseline"/>
        <w:rPr>
          <w:rFonts w:hint="eastAsia" w:ascii="仿宋" w:hAnsi="仿宋" w:eastAsia="仿宋" w:cs="仿宋_GB2312"/>
          <w:snapToGrid w:val="0"/>
          <w:color w:val="333333"/>
          <w:spacing w:val="8"/>
          <w:kern w:val="0"/>
          <w:sz w:val="28"/>
          <w:szCs w:val="28"/>
        </w:rPr>
      </w:pPr>
      <w:r>
        <w:rPr>
          <w:rFonts w:hint="eastAsia" w:ascii="仿宋" w:hAnsi="仿宋" w:eastAsia="仿宋" w:cs="仿宋_GB2312"/>
          <w:snapToGrid w:val="0"/>
          <w:color w:val="333333"/>
          <w:spacing w:val="8"/>
          <w:kern w:val="0"/>
          <w:sz w:val="28"/>
          <w:szCs w:val="28"/>
        </w:rPr>
        <w:t>考核形式：考查。</w:t>
      </w:r>
    </w:p>
    <w:p w14:paraId="343EF262">
      <w:pPr>
        <w:kinsoku w:val="0"/>
        <w:autoSpaceDE w:val="0"/>
        <w:autoSpaceDN w:val="0"/>
        <w:adjustRightInd w:val="0"/>
        <w:snapToGrid w:val="0"/>
        <w:spacing w:before="92" w:line="460" w:lineRule="exact"/>
        <w:ind w:left="45" w:right="329" w:firstLine="595"/>
        <w:jc w:val="left"/>
        <w:textAlignment w:val="baseline"/>
        <w:rPr>
          <w:rFonts w:hint="eastAsia" w:ascii="仿宋" w:hAnsi="仿宋" w:eastAsia="仿宋" w:cs="仿宋_GB2312"/>
          <w:snapToGrid w:val="0"/>
          <w:color w:val="333333"/>
          <w:spacing w:val="8"/>
          <w:kern w:val="0"/>
          <w:sz w:val="28"/>
          <w:szCs w:val="28"/>
        </w:rPr>
      </w:pPr>
      <w:r>
        <w:rPr>
          <w:rFonts w:hint="eastAsia" w:ascii="仿宋" w:hAnsi="仿宋" w:eastAsia="仿宋" w:cs="仿宋_GB2312"/>
          <w:snapToGrid w:val="0"/>
          <w:color w:val="333333"/>
          <w:spacing w:val="8"/>
          <w:kern w:val="0"/>
          <w:sz w:val="28"/>
          <w:szCs w:val="28"/>
        </w:rPr>
        <w:t>成绩评定：综合成绩=过程性考核成绩*40%+终结性考核成绩*60%</w:t>
      </w:r>
    </w:p>
    <w:tbl>
      <w:tblPr>
        <w:tblStyle w:val="7"/>
        <w:tblW w:w="87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1418"/>
        <w:gridCol w:w="1139"/>
        <w:gridCol w:w="3822"/>
        <w:gridCol w:w="1138"/>
      </w:tblGrid>
      <w:tr w14:paraId="1FE56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71" w:type="dxa"/>
            <w:vAlign w:val="center"/>
          </w:tcPr>
          <w:p w14:paraId="0D098825">
            <w:pPr>
              <w:pStyle w:val="10"/>
              <w:spacing w:before="9"/>
              <w:jc w:val="center"/>
              <w:rPr>
                <w:rFonts w:hint="eastAsia" w:ascii="仿宋" w:hAnsi="仿宋" w:eastAsia="仿宋" w:cs="黑体"/>
                <w:b/>
                <w:szCs w:val="21"/>
              </w:rPr>
            </w:pPr>
            <w:r>
              <w:rPr>
                <w:rFonts w:hint="eastAsia" w:ascii="仿宋" w:hAnsi="仿宋" w:eastAsia="仿宋" w:cs="黑体"/>
                <w:b/>
                <w:szCs w:val="21"/>
              </w:rPr>
              <w:t>考核依据</w:t>
            </w:r>
          </w:p>
        </w:tc>
        <w:tc>
          <w:tcPr>
            <w:tcW w:w="1418" w:type="dxa"/>
            <w:vAlign w:val="center"/>
          </w:tcPr>
          <w:p w14:paraId="41B8B30E">
            <w:pPr>
              <w:pStyle w:val="10"/>
              <w:spacing w:before="9"/>
              <w:jc w:val="center"/>
              <w:rPr>
                <w:rFonts w:hint="eastAsia" w:ascii="仿宋" w:hAnsi="仿宋" w:eastAsia="仿宋" w:cs="黑体"/>
                <w:b/>
                <w:szCs w:val="21"/>
              </w:rPr>
            </w:pPr>
            <w:r>
              <w:rPr>
                <w:rFonts w:hint="eastAsia" w:ascii="仿宋" w:hAnsi="仿宋" w:eastAsia="仿宋" w:cs="黑体"/>
                <w:b/>
                <w:szCs w:val="21"/>
              </w:rPr>
              <w:t>考核内容</w:t>
            </w:r>
          </w:p>
        </w:tc>
        <w:tc>
          <w:tcPr>
            <w:tcW w:w="1139" w:type="dxa"/>
            <w:vAlign w:val="center"/>
          </w:tcPr>
          <w:p w14:paraId="65BA0217">
            <w:pPr>
              <w:pStyle w:val="10"/>
              <w:spacing w:before="9"/>
              <w:jc w:val="center"/>
              <w:rPr>
                <w:rFonts w:hint="eastAsia" w:ascii="仿宋" w:hAnsi="仿宋" w:eastAsia="仿宋" w:cs="黑体"/>
                <w:b/>
                <w:szCs w:val="21"/>
              </w:rPr>
            </w:pPr>
            <w:r>
              <w:rPr>
                <w:rFonts w:hint="eastAsia" w:ascii="仿宋" w:hAnsi="仿宋" w:eastAsia="仿宋" w:cs="黑体"/>
                <w:b/>
                <w:szCs w:val="21"/>
              </w:rPr>
              <w:t>建议分值</w:t>
            </w:r>
          </w:p>
        </w:tc>
        <w:tc>
          <w:tcPr>
            <w:tcW w:w="3822" w:type="dxa"/>
            <w:vAlign w:val="center"/>
          </w:tcPr>
          <w:p w14:paraId="2BEF1CAD">
            <w:pPr>
              <w:pStyle w:val="10"/>
              <w:spacing w:before="9"/>
              <w:jc w:val="center"/>
              <w:rPr>
                <w:rFonts w:hint="eastAsia" w:ascii="仿宋" w:hAnsi="仿宋" w:eastAsia="仿宋" w:cs="黑体"/>
                <w:b/>
                <w:szCs w:val="21"/>
              </w:rPr>
            </w:pPr>
            <w:r>
              <w:rPr>
                <w:rFonts w:hint="eastAsia" w:ascii="仿宋" w:hAnsi="仿宋" w:eastAsia="仿宋" w:cs="黑体"/>
                <w:b/>
                <w:szCs w:val="21"/>
              </w:rPr>
              <w:t>考核细则</w:t>
            </w:r>
          </w:p>
        </w:tc>
        <w:tc>
          <w:tcPr>
            <w:tcW w:w="1138" w:type="dxa"/>
          </w:tcPr>
          <w:p w14:paraId="0F2BD70B">
            <w:pPr>
              <w:pStyle w:val="10"/>
              <w:spacing w:before="9"/>
              <w:jc w:val="center"/>
              <w:rPr>
                <w:rFonts w:hint="eastAsia" w:ascii="仿宋" w:hAnsi="仿宋" w:eastAsia="仿宋" w:cs="黑体"/>
                <w:b/>
                <w:szCs w:val="21"/>
              </w:rPr>
            </w:pPr>
            <w:r>
              <w:rPr>
                <w:rFonts w:hint="eastAsia" w:ascii="仿宋" w:hAnsi="仿宋" w:eastAsia="仿宋" w:cs="黑体"/>
                <w:b/>
                <w:szCs w:val="21"/>
              </w:rPr>
              <w:t>说明</w:t>
            </w:r>
          </w:p>
        </w:tc>
      </w:tr>
      <w:tr w14:paraId="286FD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exact"/>
          <w:jc w:val="center"/>
        </w:trPr>
        <w:tc>
          <w:tcPr>
            <w:tcW w:w="1271" w:type="dxa"/>
            <w:vMerge w:val="restart"/>
            <w:vAlign w:val="center"/>
          </w:tcPr>
          <w:p w14:paraId="255A09DD">
            <w:pPr>
              <w:jc w:val="center"/>
              <w:rPr>
                <w:rFonts w:hint="eastAsia" w:ascii="仿宋" w:hAnsi="仿宋" w:eastAsia="仿宋" w:cs="黑体"/>
                <w:b/>
                <w:sz w:val="20"/>
              </w:rPr>
            </w:pPr>
            <w:r>
              <w:rPr>
                <w:rFonts w:hint="eastAsia" w:ascii="仿宋" w:hAnsi="仿宋" w:eastAsia="仿宋" w:cs="黑体"/>
                <w:b/>
                <w:sz w:val="20"/>
              </w:rPr>
              <w:t>过程性考核（100分）</w:t>
            </w:r>
          </w:p>
        </w:tc>
        <w:tc>
          <w:tcPr>
            <w:tcW w:w="1418" w:type="dxa"/>
            <w:vAlign w:val="center"/>
          </w:tcPr>
          <w:p w14:paraId="0A391BB6">
            <w:pPr>
              <w:jc w:val="center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课堂表现</w:t>
            </w:r>
          </w:p>
        </w:tc>
        <w:tc>
          <w:tcPr>
            <w:tcW w:w="1139" w:type="dxa"/>
            <w:vAlign w:val="center"/>
          </w:tcPr>
          <w:p w14:paraId="4BE8BFFA">
            <w:pPr>
              <w:jc w:val="center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20分</w:t>
            </w:r>
          </w:p>
        </w:tc>
        <w:tc>
          <w:tcPr>
            <w:tcW w:w="3822" w:type="dxa"/>
            <w:vAlign w:val="center"/>
          </w:tcPr>
          <w:p w14:paraId="3B19AFC4">
            <w:pPr>
              <w:jc w:val="center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对学生参与课堂互动表现情况进行考核</w:t>
            </w:r>
          </w:p>
        </w:tc>
        <w:tc>
          <w:tcPr>
            <w:tcW w:w="1138" w:type="dxa"/>
            <w:vAlign w:val="center"/>
          </w:tcPr>
          <w:p w14:paraId="6378B2CA">
            <w:pPr>
              <w:jc w:val="center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课前课中</w:t>
            </w:r>
          </w:p>
        </w:tc>
      </w:tr>
      <w:tr w14:paraId="44657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  <w:jc w:val="center"/>
        </w:trPr>
        <w:tc>
          <w:tcPr>
            <w:tcW w:w="1271" w:type="dxa"/>
            <w:vMerge w:val="continue"/>
            <w:vAlign w:val="center"/>
          </w:tcPr>
          <w:p w14:paraId="66D47B5B">
            <w:pPr>
              <w:jc w:val="center"/>
              <w:rPr>
                <w:rFonts w:hint="eastAsia" w:ascii="仿宋" w:hAnsi="仿宋" w:eastAsia="仿宋" w:cs="黑体"/>
                <w:b/>
                <w:sz w:val="20"/>
              </w:rPr>
            </w:pPr>
          </w:p>
        </w:tc>
        <w:tc>
          <w:tcPr>
            <w:tcW w:w="1418" w:type="dxa"/>
            <w:vAlign w:val="center"/>
          </w:tcPr>
          <w:p w14:paraId="008D3B7D">
            <w:pPr>
              <w:jc w:val="center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平时作业</w:t>
            </w:r>
          </w:p>
        </w:tc>
        <w:tc>
          <w:tcPr>
            <w:tcW w:w="1139" w:type="dxa"/>
            <w:vAlign w:val="center"/>
          </w:tcPr>
          <w:p w14:paraId="452FCD54">
            <w:pPr>
              <w:jc w:val="center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40分</w:t>
            </w:r>
          </w:p>
        </w:tc>
        <w:tc>
          <w:tcPr>
            <w:tcW w:w="3822" w:type="dxa"/>
            <w:vAlign w:val="center"/>
          </w:tcPr>
          <w:p w14:paraId="55E4DBB8">
            <w:pPr>
              <w:jc w:val="center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对学生课下作业完成情况进行考核</w:t>
            </w:r>
          </w:p>
        </w:tc>
        <w:tc>
          <w:tcPr>
            <w:tcW w:w="1138" w:type="dxa"/>
            <w:vAlign w:val="center"/>
          </w:tcPr>
          <w:p w14:paraId="47CDFCBB">
            <w:pPr>
              <w:jc w:val="center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课后</w:t>
            </w:r>
          </w:p>
        </w:tc>
      </w:tr>
      <w:tr w14:paraId="3622B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exact"/>
          <w:jc w:val="center"/>
        </w:trPr>
        <w:tc>
          <w:tcPr>
            <w:tcW w:w="1271" w:type="dxa"/>
            <w:vMerge w:val="continue"/>
            <w:vAlign w:val="center"/>
          </w:tcPr>
          <w:p w14:paraId="03CA26C0">
            <w:pPr>
              <w:jc w:val="center"/>
              <w:rPr>
                <w:rFonts w:hint="eastAsia" w:ascii="仿宋" w:hAnsi="仿宋" w:eastAsia="仿宋" w:cs="黑体"/>
                <w:b/>
                <w:sz w:val="20"/>
              </w:rPr>
            </w:pPr>
          </w:p>
        </w:tc>
        <w:tc>
          <w:tcPr>
            <w:tcW w:w="1418" w:type="dxa"/>
            <w:vAlign w:val="center"/>
          </w:tcPr>
          <w:p w14:paraId="7D3D40DA">
            <w:pPr>
              <w:jc w:val="center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实验</w:t>
            </w:r>
          </w:p>
        </w:tc>
        <w:tc>
          <w:tcPr>
            <w:tcW w:w="1139" w:type="dxa"/>
            <w:vAlign w:val="center"/>
          </w:tcPr>
          <w:p w14:paraId="31EDF8BC">
            <w:pPr>
              <w:jc w:val="center"/>
              <w:rPr>
                <w:rFonts w:hint="eastAsia" w:ascii="仿宋" w:hAnsi="仿宋" w:eastAsia="仿宋"/>
                <w:szCs w:val="21"/>
              </w:rPr>
            </w:pPr>
            <w:r>
              <w:rPr>
                <w:rFonts w:ascii="仿宋" w:hAnsi="仿宋" w:eastAsia="仿宋"/>
                <w:szCs w:val="21"/>
              </w:rPr>
              <w:t>4</w:t>
            </w:r>
            <w:r>
              <w:rPr>
                <w:rFonts w:hint="eastAsia" w:ascii="仿宋" w:hAnsi="仿宋" w:eastAsia="仿宋"/>
                <w:szCs w:val="21"/>
              </w:rPr>
              <w:t>0分</w:t>
            </w:r>
          </w:p>
        </w:tc>
        <w:tc>
          <w:tcPr>
            <w:tcW w:w="3822" w:type="dxa"/>
            <w:vAlign w:val="center"/>
          </w:tcPr>
          <w:p w14:paraId="116C22C9">
            <w:pPr>
              <w:jc w:val="center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对学生实验质量情况进行考核</w:t>
            </w:r>
          </w:p>
        </w:tc>
        <w:tc>
          <w:tcPr>
            <w:tcW w:w="1138" w:type="dxa"/>
            <w:vAlign w:val="center"/>
          </w:tcPr>
          <w:p w14:paraId="7C7F2E5D">
            <w:pPr>
              <w:jc w:val="center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课后</w:t>
            </w:r>
          </w:p>
        </w:tc>
      </w:tr>
      <w:tr w14:paraId="0920C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  <w:jc w:val="center"/>
        </w:trPr>
        <w:tc>
          <w:tcPr>
            <w:tcW w:w="1271" w:type="dxa"/>
            <w:vAlign w:val="center"/>
          </w:tcPr>
          <w:p w14:paraId="6C2996EE">
            <w:pPr>
              <w:jc w:val="center"/>
              <w:rPr>
                <w:rFonts w:hint="eastAsia" w:ascii="仿宋" w:hAnsi="仿宋" w:eastAsia="仿宋" w:cs="黑体"/>
                <w:b/>
              </w:rPr>
            </w:pPr>
            <w:r>
              <w:rPr>
                <w:rFonts w:hint="eastAsia" w:ascii="仿宋" w:hAnsi="仿宋" w:eastAsia="仿宋" w:cs="黑体"/>
                <w:b/>
              </w:rPr>
              <w:t>终结性考核 （100分）</w:t>
            </w:r>
          </w:p>
        </w:tc>
        <w:tc>
          <w:tcPr>
            <w:tcW w:w="1418" w:type="dxa"/>
            <w:vAlign w:val="center"/>
          </w:tcPr>
          <w:p w14:paraId="12900706">
            <w:pPr>
              <w:jc w:val="center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设计作品考查</w:t>
            </w:r>
          </w:p>
        </w:tc>
        <w:tc>
          <w:tcPr>
            <w:tcW w:w="1139" w:type="dxa"/>
            <w:vAlign w:val="center"/>
          </w:tcPr>
          <w:p w14:paraId="3A6A2DA6">
            <w:pPr>
              <w:jc w:val="center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100分</w:t>
            </w:r>
          </w:p>
        </w:tc>
        <w:tc>
          <w:tcPr>
            <w:tcW w:w="3822" w:type="dxa"/>
            <w:vAlign w:val="center"/>
          </w:tcPr>
          <w:p w14:paraId="16660330">
            <w:pPr>
              <w:jc w:val="center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以小组为单位，完成课程设计</w:t>
            </w:r>
          </w:p>
        </w:tc>
        <w:tc>
          <w:tcPr>
            <w:tcW w:w="1138" w:type="dxa"/>
            <w:vAlign w:val="center"/>
          </w:tcPr>
          <w:p w14:paraId="6294FFA8">
            <w:pPr>
              <w:jc w:val="center"/>
              <w:rPr>
                <w:rFonts w:hint="eastAsia" w:ascii="仿宋" w:hAnsi="仿宋" w:eastAsia="仿宋"/>
                <w:szCs w:val="21"/>
              </w:rPr>
            </w:pPr>
            <w:r>
              <w:rPr>
                <w:rFonts w:hint="eastAsia" w:ascii="仿宋" w:hAnsi="仿宋" w:eastAsia="仿宋"/>
                <w:szCs w:val="21"/>
              </w:rPr>
              <w:t>学期末</w:t>
            </w:r>
          </w:p>
        </w:tc>
      </w:tr>
    </w:tbl>
    <w:p w14:paraId="0A7C9D21">
      <w:pPr>
        <w:kinsoku w:val="0"/>
        <w:autoSpaceDE w:val="0"/>
        <w:autoSpaceDN w:val="0"/>
        <w:adjustRightInd w:val="0"/>
        <w:snapToGrid w:val="0"/>
        <w:spacing w:before="92" w:line="460" w:lineRule="exact"/>
        <w:ind w:left="45" w:right="329" w:firstLine="595"/>
        <w:jc w:val="left"/>
        <w:textAlignment w:val="baseline"/>
        <w:rPr>
          <w:rFonts w:hint="eastAsia" w:ascii="仿宋" w:hAnsi="仿宋" w:eastAsia="仿宋" w:cs="仿宋_GB2312"/>
          <w:snapToGrid w:val="0"/>
          <w:color w:val="000000"/>
          <w:kern w:val="0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72C"/>
    <w:rsid w:val="0002078A"/>
    <w:rsid w:val="00046EC7"/>
    <w:rsid w:val="0005139B"/>
    <w:rsid w:val="000739F4"/>
    <w:rsid w:val="000B4D01"/>
    <w:rsid w:val="00137D34"/>
    <w:rsid w:val="001423BA"/>
    <w:rsid w:val="00170F60"/>
    <w:rsid w:val="00171332"/>
    <w:rsid w:val="00174E24"/>
    <w:rsid w:val="00196D8B"/>
    <w:rsid w:val="002119AE"/>
    <w:rsid w:val="0021498B"/>
    <w:rsid w:val="00242C0E"/>
    <w:rsid w:val="002545D6"/>
    <w:rsid w:val="002B679F"/>
    <w:rsid w:val="002C378C"/>
    <w:rsid w:val="002D4AAA"/>
    <w:rsid w:val="002E4405"/>
    <w:rsid w:val="002E7FFE"/>
    <w:rsid w:val="00355C35"/>
    <w:rsid w:val="00402DB9"/>
    <w:rsid w:val="0041519A"/>
    <w:rsid w:val="004171E5"/>
    <w:rsid w:val="00435E52"/>
    <w:rsid w:val="004455C1"/>
    <w:rsid w:val="004570B5"/>
    <w:rsid w:val="004962EC"/>
    <w:rsid w:val="00510A10"/>
    <w:rsid w:val="005B4EC0"/>
    <w:rsid w:val="005F6BC8"/>
    <w:rsid w:val="00650B13"/>
    <w:rsid w:val="006731C9"/>
    <w:rsid w:val="0067719C"/>
    <w:rsid w:val="0068524F"/>
    <w:rsid w:val="006924C3"/>
    <w:rsid w:val="006D0B20"/>
    <w:rsid w:val="006F7FD0"/>
    <w:rsid w:val="0072712A"/>
    <w:rsid w:val="00730A4F"/>
    <w:rsid w:val="00766772"/>
    <w:rsid w:val="00775179"/>
    <w:rsid w:val="00776234"/>
    <w:rsid w:val="00787C7B"/>
    <w:rsid w:val="007B58F8"/>
    <w:rsid w:val="007F6465"/>
    <w:rsid w:val="00812C9E"/>
    <w:rsid w:val="00827034"/>
    <w:rsid w:val="00833759"/>
    <w:rsid w:val="0086219E"/>
    <w:rsid w:val="00867BCE"/>
    <w:rsid w:val="00905509"/>
    <w:rsid w:val="0091131E"/>
    <w:rsid w:val="00920A16"/>
    <w:rsid w:val="00926D52"/>
    <w:rsid w:val="009511F4"/>
    <w:rsid w:val="009B4AAB"/>
    <w:rsid w:val="00A3322D"/>
    <w:rsid w:val="00A332A6"/>
    <w:rsid w:val="00A55179"/>
    <w:rsid w:val="00A7372C"/>
    <w:rsid w:val="00A91ED5"/>
    <w:rsid w:val="00AA15FE"/>
    <w:rsid w:val="00AC6A8B"/>
    <w:rsid w:val="00AE0EE7"/>
    <w:rsid w:val="00AE1F18"/>
    <w:rsid w:val="00B049D9"/>
    <w:rsid w:val="00B17354"/>
    <w:rsid w:val="00B72D71"/>
    <w:rsid w:val="00B756AF"/>
    <w:rsid w:val="00B94A83"/>
    <w:rsid w:val="00BB0240"/>
    <w:rsid w:val="00BB0979"/>
    <w:rsid w:val="00BE4E40"/>
    <w:rsid w:val="00C108B2"/>
    <w:rsid w:val="00C14176"/>
    <w:rsid w:val="00C54545"/>
    <w:rsid w:val="00C67110"/>
    <w:rsid w:val="00C7685F"/>
    <w:rsid w:val="00C77CAB"/>
    <w:rsid w:val="00C82E04"/>
    <w:rsid w:val="00CA4D29"/>
    <w:rsid w:val="00CA5127"/>
    <w:rsid w:val="00CB72AD"/>
    <w:rsid w:val="00CF2E2A"/>
    <w:rsid w:val="00D235AD"/>
    <w:rsid w:val="00D25338"/>
    <w:rsid w:val="00D25FD4"/>
    <w:rsid w:val="00D46AF8"/>
    <w:rsid w:val="00D55B30"/>
    <w:rsid w:val="00D571E0"/>
    <w:rsid w:val="00DA5715"/>
    <w:rsid w:val="00DC4E80"/>
    <w:rsid w:val="00DD42C8"/>
    <w:rsid w:val="00DF0AFA"/>
    <w:rsid w:val="00E7183F"/>
    <w:rsid w:val="00E83E02"/>
    <w:rsid w:val="00E95C69"/>
    <w:rsid w:val="00EE1183"/>
    <w:rsid w:val="00EE271F"/>
    <w:rsid w:val="00F03C36"/>
    <w:rsid w:val="00F329AD"/>
    <w:rsid w:val="00F62669"/>
    <w:rsid w:val="00FB3AD4"/>
    <w:rsid w:val="00FC4828"/>
    <w:rsid w:val="00FE1C76"/>
    <w:rsid w:val="0110467D"/>
    <w:rsid w:val="0846117C"/>
    <w:rsid w:val="0E9014B0"/>
    <w:rsid w:val="10831E63"/>
    <w:rsid w:val="1F170346"/>
    <w:rsid w:val="20E43CE3"/>
    <w:rsid w:val="27181100"/>
    <w:rsid w:val="37997418"/>
    <w:rsid w:val="3885411B"/>
    <w:rsid w:val="3C432323"/>
    <w:rsid w:val="3E344619"/>
    <w:rsid w:val="4E376C74"/>
    <w:rsid w:val="5FDC6467"/>
    <w:rsid w:val="63D255C4"/>
    <w:rsid w:val="66833969"/>
    <w:rsid w:val="68C30806"/>
    <w:rsid w:val="6BCC2B68"/>
    <w:rsid w:val="6FBB1BF5"/>
    <w:rsid w:val="77FB01BD"/>
    <w:rsid w:val="7E960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</w:r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99"/>
    <w:pPr>
      <w:ind w:firstLine="420" w:firstLineChars="200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批注框文本 字符"/>
    <w:basedOn w:val="8"/>
    <w:link w:val="3"/>
    <w:semiHidden/>
    <w:qFormat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2">
    <w:name w:val="页眉 字符"/>
    <w:basedOn w:val="8"/>
    <w:link w:val="5"/>
    <w:qFormat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13">
    <w:name w:val="页脚 字符"/>
    <w:basedOn w:val="8"/>
    <w:link w:val="4"/>
    <w:qFormat/>
    <w:uiPriority w:val="99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2015</Words>
  <Characters>2131</Characters>
  <Lines>111</Lines>
  <Paragraphs>125</Paragraphs>
  <TotalTime>0</TotalTime>
  <ScaleCrop>false</ScaleCrop>
  <LinksUpToDate>false</LinksUpToDate>
  <CharactersWithSpaces>2226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2025-03-06T13:28:00Z</dcterms:created>
  <dc:creator>qz</dc:creator>
  <cp:lastModifiedBy>WPS_1550066754</cp:lastModifiedBy>
  <cp:lastPrinted>2026-01-14T10:49:00Z</cp:lastPrinted>
  <dcterms:modified xsi:type="dcterms:W3CDTF">2026-03-21T18:13:39Z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eyJoZGlkIjoiNjViNTBiNTY3MmNkOGY1NWJmNTdmZjQ2YTI0NzI1NzYiLCJ1c2VySWQiOiI0NzI3Mzg3MjcifQ==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285ED410DF1145A889045625359D3D5D_12</vt:lpwstr>
  </property>
</Properties>
</file>