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</w:pPr>
      <w:r>
        <w:t xml:space="preserve"/>
      </w:r>
    </w:p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color w:val="4472C4"/>
          <w:sz w:val="18"/>
          <w:szCs w:val="18"/>
        </w:rPr>
        <w:t xml:space="preserve">DATA VISUALIZATION DESIGN BRIEF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br/>
        <w:t xml:space="preserve">Online Retail RFM 客群分析
視覺化設計建議書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供 CRM 與行銷決策簡報使用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有效客戶數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5,877 人（排除匿名與無效交易後）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總營收規模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£17,722,007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核心洞察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活躍 VIP（約 25% 客戶）貢獻逾 73% 營收；沈睡 VIP（7.5%）貢獻逾 10%。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圖表建議數</w:t>
            </w:r>
          </w:p>
        </w:tc>
        <w:tc>
          <w:tcPr>
            <w:tcW w:type="dxa" w:w="7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張核心圖表（含替代方案）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Bdr>
          <w:bottom w:val="single" w:color="1F3864" w:sz="8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執行摘要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策略重點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本報告依據 RFM 五客群分析結果，就各核心洞察提出對應之視覺化設計建議，協助行銷與 CRM 決策者快速識別客群價值落差、優先分配預算，並支援沈睡 VIP 召回專案的溝通簡報。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五張建議圖表依分析目的分為四類：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3744"/>
        <w:gridCol w:w="1872"/>
      </w:tblGrid>
      <w:tr>
        <w:trPr>
          <w:tblHeader/>
        </w:trPr>
        <w:tc>
          <w:tcPr>
            <w:tcW w:type="dxa" w:w="374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洞察重點</w:t>
            </w:r>
          </w:p>
        </w:tc>
        <w:tc>
          <w:tcPr>
            <w:tcW w:type="dxa" w:w="374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建議圖表類型</w:t>
            </w:r>
          </w:p>
        </w:tc>
        <w:tc>
          <w:tcPr>
            <w:tcW w:type="dxa" w:w="187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分析目的</w:t>
            </w:r>
          </w:p>
        </w:tc>
      </w:tr>
      <w:tr>
        <w:tc>
          <w:tcPr>
            <w:tcW w:type="dxa" w:w="374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客群人數 vs 營收貢獻佔比</w:t>
            </w:r>
          </w:p>
        </w:tc>
        <w:tc>
          <w:tcPr>
            <w:tcW w:type="dxa" w:w="374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分組柱狀圖</w:t>
            </w:r>
          </w:p>
        </w:tc>
        <w:tc>
          <w:tcPr>
            <w:tcW w:type="dxa" w:w="187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比較、構成</w:t>
            </w:r>
          </w:p>
        </w:tc>
      </w:tr>
      <w:tr>
        <w:tc>
          <w:tcPr>
            <w:tcW w:type="dxa" w:w="374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各客群總營收與平均客單價</w:t>
            </w:r>
          </w:p>
        </w:tc>
        <w:tc>
          <w:tcPr>
            <w:tcW w:type="dxa" w:w="374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組合圖（柱狀 + 折線）</w:t>
            </w:r>
          </w:p>
        </w:tc>
        <w:tc>
          <w:tcPr>
            <w:tcW w:type="dxa" w:w="187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比較、關聯</w:t>
            </w:r>
          </w:p>
        </w:tc>
      </w:tr>
      <w:tr>
        <w:tc>
          <w:tcPr>
            <w:tcW w:type="dxa" w:w="374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有效分析樣本篩選漏斗</w:t>
            </w:r>
          </w:p>
        </w:tc>
        <w:tc>
          <w:tcPr>
            <w:tcW w:type="dxa" w:w="374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瀑布圖</w:t>
            </w:r>
          </w:p>
        </w:tc>
        <w:tc>
          <w:tcPr>
            <w:tcW w:type="dxa" w:w="187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構成、流程</w:t>
            </w:r>
          </w:p>
        </w:tc>
      </w:tr>
      <w:tr>
        <w:tc>
          <w:tcPr>
            <w:tcW w:type="dxa" w:w="374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沈睡 VIP 核心指標概覽</w:t>
            </w:r>
          </w:p>
        </w:tc>
        <w:tc>
          <w:tcPr>
            <w:tcW w:type="dxa" w:w="374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子彈圖 / KPI 卡 + 條形圖</w:t>
            </w:r>
          </w:p>
        </w:tc>
        <w:tc>
          <w:tcPr>
            <w:tcW w:type="dxa" w:w="187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比較、決策</w:t>
            </w:r>
          </w:p>
        </w:tc>
      </w:tr>
      <w:tr>
        <w:tc>
          <w:tcPr>
            <w:tcW w:type="dxa" w:w="374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整體營收來源結構</w:t>
            </w:r>
          </w:p>
        </w:tc>
        <w:tc>
          <w:tcPr>
            <w:tcW w:type="dxa" w:w="3744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樹狀圖 / 環圈圖</w:t>
            </w:r>
          </w:p>
        </w:tc>
        <w:tc>
          <w:tcPr>
            <w:tcW w:type="dxa" w:w="1872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構成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F3864" w:sz="8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建議一｜客群人數 vs 營收貢獻佔比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核心洞察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活躍 VIP 僅占客戶總數約 25%，卻貢獻逾 73% 營收；沈睡 VIP 約 7.5% 客戶貢獻逾 10% 營收，兩者合計超過 83%。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2E4B8C"/>
          <w:sz w:val="22"/>
          <w:szCs w:val="22"/>
        </w:rPr>
        <w:t xml:space="preserve">主要推薦：分組柱狀圖（Grouped Bar Chart）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圖表標題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客群人數 vs 營收貢獻—少數 VIP 撐起大半營收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副標題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RFM 五區隔之人數佔比與營收佔比（有效客戶 5,877 人，總營收 £17.72M）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X 軸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客群：活躍 VIP、沈睡 VIP、一般流失、一般活躍、潛力新客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 軸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百分比（0%–80%），兩組並排柱：人數佔比 vs 營收佔比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3"/>
              <w:left w:val="single" w:color="D9D9D9" w:sz="1"/>
              <w:bottom w:val="single" w:color="D9D9D9" w:sz="1"/>
              <w:right w:val="single" w:color="D9D9D9" w:sz="1"/>
            </w:tcBorders>
            <w:shd w:fill="D6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設計要點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排序：依營收佔比由高到低排列（活躍 VIP → 沈睡 VIP → 一般流失 → 一般活躍 → 潛力新客），突顯營收集中度。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顏色：人數佔比柱以灰階或淺藍呈現；營收佔比柱用深藍作對比；活躍 VIP 與沈睡 VIP 另加強調色（橘、綠）並於圖例標示為重點客群。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數值標籤：於活躍 VIP 與沈睡 VIP 的營收柱頂標註具體數值（73.06%、10.26%），並附一句關鍵結論：「25% 客戶貢獻 73% 營收」。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3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1"/>
                <w:szCs w:val="21"/>
              </w:rPr>
              <w:t xml:space="preserve">替代方案：100% 堆疊條形圖（Stacked Bar）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適用情境：簡報空間有限，或需強調「同一客群內」人數與營收相對比例時。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作法：以兩條橫條並排，上條為人數佔比 100% 堆疊，下條為營收佔比 100% 堆疊，同一客群採同一色系以利上下對照。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F3864" w:sz="8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建議二｜各客群總營收與平均客單價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核心洞察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沈睡 VIP 平均客單價 £4,123，遠高於一般流失客群 £640，顯示其召回潛在 ROI 顯著，應提高優惠力度以支持優先發券決策。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2E4B8C"/>
          <w:sz w:val="22"/>
          <w:szCs w:val="22"/>
        </w:rPr>
        <w:t xml:space="preserve">主要推薦：組合圖（Combo Chart）— 柱狀 + 折線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圖表標題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各客群總營收與平均客單價—行銷預算與優惠力度參考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Y1 軸（柱）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總營收（£），或改為營收佔比（%）以縮小量級差距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Y2 軸（線）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平均客單價（£），標記各客群折線數據點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3"/>
              <w:left w:val="single" w:color="D9D9D9" w:sz="1"/>
              <w:bottom w:val="single" w:color="D9D9D9" w:sz="1"/>
              <w:right w:val="single" w:color="D9D9D9" w:sz="1"/>
            </w:tcBorders>
            <w:shd w:fill="D6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設計要點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排序與建議一一致（依營收由高到低），方便受眾跨圖對照。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若總營收量級遠超平均客單價，建議改用雙 Y 軸或將柱狀改為營收佔比（%），避免折線被視覺壓縮。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在沈睡 VIP 折線點標註「£4,123」，一般流失點標註「£640」，強化「高價值召回」論述。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3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1"/>
                <w:szCs w:val="21"/>
              </w:rPr>
              <w:t xml:space="preserve">替代方案：水平條形圖（Horizontal Bar Chart）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適用情境：僅需單一指標比較（總營收或平均客單價），或受眾對組合圖不熟悉時。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作法：可出兩張獨立條形圖，分別呈現各客群總營收與平均客單價，以利逐一說明。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F3864" w:sz="8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建議三｜有效分析樣本篩選漏斗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核心洞察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原始資料共 1,067,371 筆明細，經排除缺失 CustomerID（-243,007 筆）及無效交易（-18,817 筆）後，得 805,547 筆有效明細，對應 5,877 位不重複客戶作為 RFM 分析基礎。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2E4B8C"/>
          <w:sz w:val="22"/>
          <w:szCs w:val="22"/>
        </w:rPr>
        <w:t xml:space="preserve">主要推薦：瀑布圖（Waterfall Chart）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圖表標題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有效分析樣本如何從 106 萬筆篩選至 5,877 位客戶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起點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1,067,371 筆（全部原始明細）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第一扣除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排除 CustomerID 缺失：-243,007 筆 → 剩 824,364 筆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第二扣除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排除無效交易（退貨 / 異常單價）：-18,817 筆 → 剩 805,547 筆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終點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RFM 有效分析樣本：5,877 位不重複客戶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3"/>
              <w:left w:val="single" w:color="D9D9D9" w:sz="1"/>
              <w:bottom w:val="single" w:color="D9D9D9" w:sz="1"/>
              <w:right w:val="single" w:color="D9D9D9" w:sz="1"/>
            </w:tcBorders>
            <w:shd w:fill="D6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設計要點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顏色：起點與終點用中性色；扣除項用負向色（紅色），使「排除邏輯」直觀可讀。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每根柱子標註具體數字與篩選原因（如「排除 CustomerID 缺失」、「排除退貨/異常單價」）。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圖下附一句說明：「RFM 分析單位為客戶，故有效分析樣本 = 5,877 人；避免受眾誤讀百萬筆為百萬人。」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雙層標註：每階段同時標示剩餘明細筆數與不重複客戶數（5,942 人 → 5,877 人），防止資料誤解。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3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1"/>
                <w:szCs w:val="21"/>
              </w:rPr>
              <w:t xml:space="preserve">替代方案：階梯式條形圖 / 數據表格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適用情境：簡報篇幅有限，或受眾對瀑布圖形式不熟悉時。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作法：以三欄表格呈現（篩選階段、剩餘明細筆數、不重複客戶數），或以兩條階梯折線分別表示明細筆數與客戶數的逐階變化。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F3864" w:sz="8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建議四｜沈睡 VIP 核心指標概覽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核心洞察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沈睡 VIP 共 441 人（佔客戶總數 7.5%），貢獻營收 £1.82M（10.26%），平均客單價 £4,122.60。以單位客戶產生的營收而言，召回 ROI 潛力顯著優於一般流失客群。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2E4B8C"/>
          <w:sz w:val="22"/>
          <w:szCs w:val="22"/>
        </w:rPr>
        <w:t xml:space="preserve">主要推薦：子彈圖（Bullet Chart）或 KPI 卡 + 條形圖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圖表標題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沈睡 VIP 核心指標—回歸優惠券優先名單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KPI 卡①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441 人（7.50% 客戶佔比）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KPI 卡②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£1.82M 總營收（10.26% 貢獻佔比）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KPI 卡③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£4,122.60 平均客單價（對比一般流失 £640）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3"/>
              <w:left w:val="single" w:color="D9D9D9" w:sz="1"/>
              <w:bottom w:val="single" w:color="D9D9D9" w:sz="1"/>
              <w:right w:val="single" w:color="D9D9D9" w:sz="1"/>
            </w:tcBorders>
            <w:shd w:fill="D6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設計要點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顏色一致性：沈睡 VIP 全程使用同一強調色（橘色或深藍），與其他圖表保持系統統一。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在條形圖中並列沈睡 VIP（£4,123）與一般流失（£640）的平均客單價，以量化差距支持優先召回論點。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圖旁附一句決策結論：「7.5% 客戶貢獻逾 10% 營收，建議優先發券並提高優惠力度。」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3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1"/>
                <w:szCs w:val="21"/>
              </w:rPr>
              <w:t xml:space="preserve">替代方案：環圈圖（Donut Chart）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適用情境：僅需強調沈睡 VIP 在整體營收中的佔比時。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作法：繪製五客群營收構成環圈圖，將沈睡 VIP 扇區加強標示，中心標註「10.26%」或「£1.82M」。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F3864" w:sz="8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建議五｜整體營收來源結構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核心洞察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營收高度集中於活躍 VIP（73.06%），其餘四客群各佔 1%–10%，整體結構呈現明顯的頭部集中現象。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2E4B8C"/>
          <w:sz w:val="22"/>
          <w:szCs w:val="22"/>
        </w:rPr>
        <w:t xml:space="preserve">主要推薦：樹狀圖（Treemap）或環圈圖（Donut Chart）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圖表標題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營收來源結構—五客群貢獻佔比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副標題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總營收 £17,722,007，依 RFM 區隔分解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樹狀圖作法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五區塊，面積 = 各客群營收佔比；區塊內標客群名稱與百分比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環圈圖作法</w:t>
            </w:r>
          </w:p>
        </w:tc>
        <w:tc>
          <w:tcPr>
            <w:tcW w:type="dxa" w:w="7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五扇區，中心標註總營收 £17.72M；不超過 5 類符合圓餅圖適用原則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3"/>
              <w:left w:val="single" w:color="D9D9D9" w:sz="1"/>
              <w:bottom w:val="single" w:color="D9D9D9" w:sz="1"/>
              <w:right w:val="single" w:color="D9D9D9" w:sz="1"/>
            </w:tcBorders>
            <w:shd w:fill="D6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設計要點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顏色：活躍 VIP、沈睡 VIP 沿用強調色；其餘客群以灰階或同色系深淺加以區分。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標籤：每區塊標示「客群名稱 + 營收佔比%」，必要時補充絕對金額。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分類數為 5，落在環圈圖建議上限；若需更清晰的標籤空間，優先選用樹狀圖。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3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1"/>
                <w:szCs w:val="21"/>
              </w:rPr>
              <w:t xml:space="preserve">替代方案：餅圖（Pie Chart）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適用情境：受眾高度熟悉餅圖且僅需辨識最大份額時。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注意：當分類數恰為 5 時，環圈圖或樹狀圖的標籤可讀性與視覺區分優於標準餅圖。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F3864" w:sz="8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視覺系統規範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規範項目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客群色系一致性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活躍 VIP、沈睡 VIP 在所有圖表中使用相同強調色，避免跨圖混淆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排序一致性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所有圖表均依「營收佔比由高到低」排列客群，降低受眾認知負荷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數值標籤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關鍵數值（如 73.06%、10.26%、£4,123）直接標註於圖表上，減少視線跳轉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決策結論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每張圖表附一句行動導向結論（如「建議優先發券」），強化洞察至決策的連結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基準日：2011-12-09　|　分析單位：不重複客戶（Customer-level）　|　貨幣：英鎊（£）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Confidential  |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single" w:color="1F3864" w:sz="4" w:space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80"/>
            <w:right w:type="dxa" w:w="0"/>
          </w:tcMar>
        </w:tcPr>
        <w:p>
          <w:r>
            <w:rPr>
              <w:rFonts w:ascii="Calibri" w:cs="Calibri" w:eastAsia="Calibri" w:hAnsi="Calibri"/>
              <w:b/>
              <w:bCs/>
              <w:color w:val="1F3864"/>
              <w:sz w:val="18"/>
              <w:szCs w:val="18"/>
            </w:rPr>
            <w:t xml:space="preserve">Online Retail RFM — 視覺化設計建議書</w:t>
          </w:r>
        </w:p>
      </w:tc>
      <w:tc>
        <w:tcPr>
          <w:tcW w:type="dxa" w:w="3720"/>
          <w:tcBorders>
            <w:top w:val="none" w:color="FFFFFF" w:sz="0"/>
            <w:left w:val="none" w:color="FFFFFF" w:sz="0"/>
            <w:bottom w:val="single" w:color="1F3864" w:sz="4" w:space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595959"/>
              <w:sz w:val="18"/>
              <w:szCs w:val="18"/>
            </w:rPr>
            <w:t xml:space="preserve">CRM / Marketing Analytics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9595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2026-03-05T03:30:38.950Z</dcterms:created>
  <dcterms:modified xsi:type="dcterms:W3CDTF">2026-03-05T03:30:38.951Z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