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70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01.07.2025</w:t>
        <w:t xml:space="preserve"> по </w:t>
        <w:t xml:space="preserve">31.07.2025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31.07.2025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Восток-Сервис: разработка Интернет-Магазина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151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01.07.2025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31.07.2025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377500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377500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Триста семьдесят семь тысяч пятьсот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Восток-Сервис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https://jira.awg.ru/secure/RapidBoard.jspa?rapidView=710&amp;selectedIssue=VSIM-119&amp;quickFilter=4066#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Восток-Сервис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https://gitlab-sim.vostok.service/users/password/edit?reset_password_token=1J35NdeysVFgc_EBhAnZ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