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仿宋" w:hAnsi="仿宋" w:eastAsia="仿宋"/>
          <w:b/>
          <w:sz w:val="24"/>
        </w:rPr>
        <w:t>一、项目基本情况</w:t>
      </w:r>
    </w:p>
    <w:p>
      <w:r>
        <w:rPr>
          <w:rFonts w:ascii="仿宋" w:hAnsi="仿宋" w:eastAsia="仿宋"/>
          <w:b/>
          <w:sz w:val="24"/>
        </w:rPr>
        <w:t>（一）项目概况</w:t>
      </w:r>
    </w:p>
    <w:p>
      <w:r>
        <w:rPr>
          <w:rFonts w:ascii="仿宋" w:hAnsi="仿宋" w:eastAsia="仿宋"/>
          <w:sz w:val="24"/>
        </w:rPr>
        <w:t>本项目为所有权类。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项目名称</w:t>
            </w:r>
          </w:p>
        </w:tc>
        <w:tc>
          <w:tcPr>
            <w:tcW w:type="dxa" w:w="4320"/>
          </w:tcPr>
          <w:p>
            <w:r/>
            <w:r>
              <w:rPr>
                <w:rFonts w:ascii="仿宋" w:hAnsi="仿宋" w:eastAsia="仿宋"/>
                <w:sz w:val="21"/>
              </w:rPr>
              <w:t>奥飞数据中心REITs</w:t>
            </w:r>
          </w:p>
        </w:tc>
      </w:tr>
    </w:tbl>
    <w:p>
      <w:r>
        <w:rPr>
          <w:rFonts w:ascii="仿宋" w:hAnsi="仿宋" w:eastAsia="仿宋"/>
          <w:b/>
          <w:sz w:val="24"/>
        </w:rPr>
        <w:t>（二）特殊限定情况说明</w:t>
      </w:r>
    </w:p>
    <w:p>
      <w:r>
        <w:rPr>
          <w:rFonts w:ascii="仿宋" w:hAnsi="仿宋" w:eastAsia="仿宋"/>
          <w:sz w:val="24"/>
        </w:rPr>
        <w:t>不涉及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