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Development Plan for OCR Web</w:t>
      </w:r>
    </w:p>
    <w:p>
      <w:pPr>
        <w:spacing w:after="140"/>
      </w:pPr>
      <w:r>
        <w:rPr>
          <w:i/>
          <w:iCs/>
        </w:rPr>
        <w:t xml:space="preserve">Document design - current phase</w:t>
      </w:r>
    </w:p>
    <w:p>
      <w:pPr>
        <w:spacing w:after="140"/>
      </w:pPr>
      <w:r>
        <w:t xml:space="preserve">Target stack: DDD, ASP.NET Core Web API (.NET 10), MediatR, FastEndpoints, CQRS, SQL Server, ASP.NET Core BFF (.NET 10), Angular 22 + Angular Material, xUnit, Moq, Playwright, Docker Image CI/CD</w:t>
      </w:r>
    </w:p>
    <w:p>
      <w:pPr>
        <w:spacing w:after="140"/>
      </w:pPr>
      <w:r>
        <w:t xml:space="preserve">Objective: define the initial project-creation and project-opening workflow for a web-based OCR system before implementation starts.</w:t>
      </w:r>
    </w:p>
    <w:p>
      <w:pPr>
        <w:pStyle w:val="Heading1"/>
        <w:spacing w:after="160" w:before="340"/>
      </w:pPr>
      <w:r>
        <w:t xml:space="preserve">1. Current Scope</w:t>
      </w:r>
    </w:p>
    <w:p>
      <w:pPr>
        <w:pStyle w:val="ListParagraph"/>
        <w:numPr>
          <w:ilvl w:val="0"/>
          <w:numId w:val="2"/>
        </w:numPr>
        <w:spacing w:after="60"/>
      </w:pPr>
      <w:r>
        <w:t xml:space="preserve">Design the initial flow for creating a new project from a PDF file</w:t>
      </w:r>
    </w:p>
    <w:p>
      <w:pPr>
        <w:pStyle w:val="ListParagraph"/>
        <w:numPr>
          <w:ilvl w:val="0"/>
          <w:numId w:val="2"/>
        </w:numPr>
        <w:spacing w:after="60"/>
      </w:pPr>
      <w:r>
        <w:t xml:space="preserve">Design the flow for opening existing projects from SQL Server project records</w:t>
      </w:r>
    </w:p>
    <w:p>
      <w:pPr>
        <w:pStyle w:val="ListParagraph"/>
        <w:numPr>
          <w:ilvl w:val="0"/>
          <w:numId w:val="2"/>
        </w:numPr>
        <w:spacing w:after="60"/>
      </w:pPr>
      <w:r>
        <w:t xml:space="preserve">Define the first-round architecture scope using DDD, CQRS, and BFF</w:t>
      </w:r>
    </w:p>
    <w:p>
      <w:pPr>
        <w:pStyle w:val="ListParagraph"/>
        <w:numPr>
          <w:ilvl w:val="0"/>
          <w:numId w:val="2"/>
        </w:numPr>
        <w:spacing w:after="60"/>
      </w:pPr>
      <w:r>
        <w:t xml:space="preserve">OCR pipeline internals are out of scope for now, including page extraction, job queue, text recognition, and indexing</w:t>
      </w:r>
    </w:p>
    <w:p>
      <w:pPr>
        <w:pStyle w:val="ListParagraph"/>
        <w:numPr>
          <w:ilvl w:val="0"/>
          <w:numId w:val="2"/>
        </w:numPr>
        <w:spacing w:after="60"/>
      </w:pPr>
      <w:r>
        <w:t xml:space="preserve">Google sign-in (Bff-mediated OAuth) is in scope and now implemented â€” see docs/Authentication/authentication-design.docx for the full design record</w:t>
      </w:r>
    </w:p>
    <w:p>
      <w:pPr>
        <w:pStyle w:val="Heading1"/>
        <w:spacing w:after="160" w:before="340"/>
      </w:pPr>
      <w:r>
        <w:t xml:space="preserve">2. Working Diagram</w:t>
      </w:r>
    </w:p>
    <w:p>
      <w:pPr>
        <w:spacing w:after="140"/>
      </w:pPr>
      <w:r>
        <w:t xml:space="preserve">Figure 1. Current workflow for new project and open existing project</w:t>
      </w:r>
    </w:p>
    <w:p>
      <w:pPr>
        <w:spacing w:after="200"/>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48075"/>
                    </a:xfrm>
                    <a:prstGeom prst="rect">
                      <a:avLst/>
                    </a:prstGeom>
                  </pic:spPr>
                </pic:pic>
              </a:graphicData>
            </a:graphic>
          </wp:inline>
        </w:drawing>
      </w:r>
    </w:p>
    <w:p>
      <w:pPr>
        <w:pStyle w:val="Heading1"/>
        <w:spacing w:after="160" w:before="340"/>
      </w:pPr>
      <w:r>
        <w:t xml:space="preserve">3. Architecture Overview</w:t>
      </w:r>
    </w:p>
    <w:p>
      <w:pPr>
        <w:spacing w:after="140"/>
      </w:pPr>
      <w:r>
        <w:t xml:space="preserve">The backend is a modular monolith: a single API host (OCRWeb.API) exposes FastEndpoints that delegate to MediatR handlers inside per-context modules. Each bounded context is a class library split into Domain / Application / Infrastructure. Persistence is a single SQL Server database (OCRWeb) with one schema and one EF Core DbContext per context; contexts reference each other by id only. Identity, cookie/Google-OAuth auth, and the /bff/* routes now come from the OrangepuffPortal.Host NuGet package (published from the sibling orangepuffportal repo, itself originally extracted from this project's former OCRWeb.Identity/OCRWeb.Bff/OCRWeb.Shared) rather than in-repo projects -- this collapsed OCRWeb from two processes (API + Bff talking over an internal RS256 JWT hop) into one. The same pattern now applies to the frontend: the Angular shell (header, session, admin UI) is bootstrapped from the @orangepuff/portal-frontend npm package, with shared UI/auth pieces (IdentityService, Avatar, ConfirmDialog, theme.scss) from @orangepuff/portal-frontend-shared, replacing what used to be the local OCRWeb.Frontend.Shared library.</w:t>
      </w:r>
    </w:p>
    <w:p>
      <w:pPr>
        <w:pStyle w:val="Heading2"/>
        <w:spacing w:after="120" w:before="260"/>
      </w:pPr>
      <w:r>
        <w:t xml:space="preserve">Target stack</w:t>
      </w:r>
    </w:p>
    <w:p>
      <w:pPr>
        <w:pStyle w:val="ListParagraph"/>
        <w:numPr>
          <w:ilvl w:val="0"/>
          <w:numId w:val="2"/>
        </w:numPr>
        <w:spacing w:after="60"/>
      </w:pPr>
      <w:r>
        <w:t xml:space="preserve">DDD, ASP.NET Core Web API (.NET 10), FastEndpoints, MediatR + CQRS, EF Core, SQL Server, ASP.NET Core BFF (.NET 10), Angular 22 + Angular Material, xUnit + Moq + Playwright, Docker.</w:t>
      </w:r>
    </w:p>
    <w:p>
      <w:pPr>
        <w:pStyle w:val="Heading2"/>
        <w:spacing w:after="120" w:before="260"/>
      </w:pPr>
      <w:r>
        <w:t xml:space="preserve">Cross-cutting rules</w:t>
      </w:r>
    </w:p>
    <w:p>
      <w:pPr>
        <w:pStyle w:val="ListParagraph"/>
        <w:numPr>
          <w:ilvl w:val="0"/>
          <w:numId w:val="2"/>
        </w:numPr>
        <w:spacing w:after="60"/>
      </w:pPr>
      <w:r>
        <w:t xml:space="preserve">Dependency direction points inward: API -&gt; Application -&gt; Domain; Infrastructure implements the ports/repository interfaces. Business libraries never depend on transport (FastEndpoints) or a specific vendor (PDFsharp).</w:t>
      </w:r>
    </w:p>
    <w:p>
      <w:pPr>
        <w:pStyle w:val="ListParagraph"/>
        <w:numPr>
          <w:ilvl w:val="0"/>
          <w:numId w:val="2"/>
        </w:numPr>
        <w:spacing w:after="60"/>
      </w:pPr>
      <w:r>
        <w:t xml:space="preserve">Audit fields are filled explicitly in handlers (no EF interceptor). DB column names use type prefixes â€” with no exceptions, including a table's own primary key (iId, not bare Id); domain models keep clean names, prefixes live only in the EF mapping layer.</w:t>
      </w:r>
    </w:p>
    <w:p>
      <w:pPr>
        <w:pStyle w:val="Heading2"/>
        <w:spacing w:after="120" w:before="260"/>
      </w:pPr>
      <w:r>
        <w:t xml:space="preserve">Status legend</w:t>
      </w:r>
    </w:p>
    <w:p>
      <w:pPr>
        <w:pStyle w:val="ListParagraph"/>
        <w:numPr>
          <w:ilvl w:val="0"/>
          <w:numId w:val="2"/>
        </w:numPr>
        <w:spacing w:after="60"/>
      </w:pPr>
      <w:r>
        <w:t xml:space="preserve">Implemented = built and compiling with tests; Partial Implemented = some of the area works; Scaffold = project exists, no domain logic yet; Planned = not started.</w:t>
      </w:r>
    </w:p>
    <w:p>
      <w:pPr>
        <w:pStyle w:val="Heading1"/>
        <w:spacing w:after="160" w:before="340"/>
      </w:pPr>
      <w:r>
        <w:t xml:space="preserve">4. Projects</w:t>
      </w:r>
    </w:p>
    <w:p>
      <w:pPr>
        <w:pStyle w:val="Heading2"/>
        <w:spacing w:after="120" w:before="260"/>
      </w:pPr>
      <w:r>
        <w:t xml:space="preserve">4.1 OCRWeb.Shared - Removed</w:t>
      </w:r>
    </w:p>
    <w:p>
      <w:pPr>
        <w:spacing w:after="140"/>
      </w:pPr>
      <w:r>
        <w:t xml:space="preserve">Removed: superseded by the OrangepuffPortal.Shared NuGet package (published from the sibling orangepuffportal repo, itself originally extracted from this project). Every module that used to reference OCRWeb.Shared (OCRWeb.Document, OCRWeb.ProjectManagement, OCRWeb.OCR) now takes a PackageReference on OrangepuffPortal.Shared instead.</w:t>
      </w:r>
    </w:p>
    <w:p>
      <w:pPr>
        <w:pStyle w:val="Heading2"/>
        <w:spacing w:after="120" w:before="260"/>
      </w:pPr>
      <w:r>
        <w:t xml:space="preserve">4.2 OCRWeb.Contract - Partial Implemented</w:t>
      </w:r>
    </w:p>
    <w:p>
      <w:pPr>
        <w:spacing w:after="140"/>
      </w:pPr>
      <w:r>
        <w:t xml:space="preserve">Responsibility: shared API contracts / DTOs / transport models used by the API and BFF.</w:t>
      </w:r>
    </w:p>
    <w:p>
      <w:pPr>
        <w:spacing w:after="140"/>
      </w:pPr>
      <w:r>
        <w:t xml:space="preserve">Contents: PdfFileListItemDto, PdfFileDetailDto, PdfFileContentDto, FilePropertiesDto, CropPdfRequest.</w:t>
      </w:r>
    </w:p>
    <w:p>
      <w:pPr>
        <w:spacing w:after="140"/>
      </w:pPr>
      <w:r>
        <w:t xml:space="preserve">Database: none. Initial DTOs.</w:t>
      </w:r>
    </w:p>
    <w:p>
      <w:pPr>
        <w:pStyle w:val="Heading2"/>
        <w:spacing w:after="120" w:before="260"/>
      </w:pPr>
      <w:r>
        <w:t xml:space="preserve">4.3 OCRWeb.Identity - Removed</w:t>
      </w:r>
    </w:p>
    <w:p>
      <w:pPr>
        <w:spacing w:after="140"/>
      </w:pPr>
      <w:r>
        <w:t xml:space="preserve">Removed: superseded by the OrangepuffPortal.Identity package (part of OrangepuffPortal.Host), which now owns the identity schema, the Users/ExternalLogins/SecurityRuleCategory/SecurityRuleItems/SecurityUserRuleItems tables, and Google sign-in provisioning. See the sibling orangepuffportal repo for the current design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7E6E6" w:val="clear"/>
          </w:tcPr>
          <w:p>
            <w:r>
              <w:rPr>
                <w:b/>
                <w:bCs/>
              </w:rPr>
              <w:t xml:space="preserve">Layer</w:t>
            </w:r>
          </w:p>
        </w:tc>
        <w:tc>
          <w:tcPr>
            <w:tcW w:type="dxa" w:w="7150"/>
            <w:shd w:fill="E7E6E6" w:val="clear"/>
          </w:tcPr>
          <w:p>
            <w:r>
              <w:rPr>
                <w:b/>
                <w:bCs/>
              </w:rPr>
              <w:t xml:space="preserve">Contents</w:t>
            </w:r>
          </w:p>
        </w:tc>
      </w:tr>
      <w:tr>
        <w:tc>
          <w:tcPr>
            <w:tcW w:type="dxa" w:w="2200"/>
          </w:tcPr>
          <w:p>
            <w:r>
              <w:rPr>
                <w:b w:val="false"/>
                <w:bCs w:val="false"/>
              </w:rPr>
              <w:t xml:space="preserve">Domain</w:t>
            </w:r>
          </w:p>
        </w:tc>
        <w:tc>
          <w:tcPr>
            <w:tcW w:type="dxa" w:w="7150"/>
          </w:tcPr>
          <w:p>
            <w:r>
              <w:rPr>
                <w:b w:val="false"/>
                <w:bCs w:val="false"/>
              </w:rPr>
              <w:t xml:space="preserve">Entity/User, Entity/ExternalLogin, Entity/SecurityRuleCategory, Entity/SecurityRuleItem, Entity/SecurityUserRuleItem; Enums/RuleType; Repositories/IUserRepository, ISecurityRuleCategoryRepository, ISecurityRuleItemRepository, ISecurityUserRuleItemRepository; IUserRegistrationPolicy</w:t>
            </w:r>
          </w:p>
        </w:tc>
      </w:tr>
      <w:tr>
        <w:tc>
          <w:tcPr>
            <w:tcW w:type="dxa" w:w="2200"/>
          </w:tcPr>
          <w:p>
            <w:r>
              <w:rPr>
                <w:b w:val="false"/>
                <w:bCs w:val="false"/>
              </w:rPr>
              <w:t xml:space="preserve">Application</w:t>
            </w:r>
          </w:p>
        </w:tc>
        <w:tc>
          <w:tcPr>
            <w:tcW w:type="dxa" w:w="7150"/>
          </w:tcPr>
          <w:p>
            <w:r>
              <w:rPr>
                <w:b w:val="false"/>
                <w:bCs w:val="false"/>
              </w:rPr>
              <w:t xml:space="preserve">Commands/ProvisionGoogleUser, AddUser, UpdateUser, DeleteUser, AddSecurityRuleCategory, UpdateSecurityRuleCategory, DeleteSecurityRuleCategory, AddSecurityRuleItem, UpdateSecurityRuleItem, DeleteSecurityRuleItem; Queries/IsUserActive</w:t>
            </w:r>
          </w:p>
        </w:tc>
      </w:tr>
      <w:tr>
        <w:tc>
          <w:tcPr>
            <w:tcW w:type="dxa" w:w="2200"/>
          </w:tcPr>
          <w:p>
            <w:r>
              <w:rPr>
                <w:b w:val="false"/>
                <w:bCs w:val="false"/>
              </w:rPr>
              <w:t xml:space="preserve">Infrastructure</w:t>
            </w:r>
          </w:p>
        </w:tc>
        <w:tc>
          <w:tcPr>
            <w:tcW w:type="dxa" w:w="7150"/>
          </w:tcPr>
          <w:p>
            <w:r>
              <w:rPr>
                <w:b w:val="false"/>
                <w:bCs w:val="false"/>
              </w:rPr>
              <w:t xml:space="preserve">UserDbContext; Configurations (User, ExternalLogin, SecurityRuleCategory, SecurityRuleItem, SecurityUserRuleItem); Repositories; ConfigurationUserRegistrationPolicy; Seeding (UserDbSeeder + SeedOptions); DesignTimeDbContextFactory; ModuleRegistration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50"/>
      </w:tblGrid>
      <w:tr>
        <w:tc>
          <w:tcPr>
            <w:tcW w:type="dxa" w:w="2000"/>
            <w:shd w:fill="E7E6E6" w:val="clear"/>
          </w:tcPr>
          <w:p>
            <w:r>
              <w:rPr>
                <w:b/>
                <w:bCs/>
              </w:rPr>
              <w:t xml:space="preserve">Column</w:t>
            </w:r>
          </w:p>
        </w:tc>
        <w:tc>
          <w:tcPr>
            <w:tcW w:type="dxa" w:w="2000"/>
            <w:shd w:fill="E7E6E6" w:val="clear"/>
          </w:tcPr>
          <w:p>
            <w:r>
              <w:rPr>
                <w:b/>
                <w:bCs/>
              </w:rPr>
              <w:t xml:space="preserve">Type</w:t>
            </w:r>
          </w:p>
        </w:tc>
        <w:tc>
          <w:tcPr>
            <w:tcW w:type="dxa" w:w="5350"/>
            <w:shd w:fill="E7E6E6" w:val="clear"/>
          </w:tcPr>
          <w:p>
            <w:r>
              <w:rPr>
                <w:b/>
                <w:bCs/>
              </w:rPr>
              <w:t xml:space="preserve">Notes</w:t>
            </w:r>
          </w:p>
        </w:tc>
      </w:tr>
      <w:tr>
        <w:tc>
          <w:tcPr>
            <w:tcW w:type="dxa" w:w="2000"/>
          </w:tcPr>
          <w:p>
            <w:r>
              <w:rPr>
                <w:rFonts w:ascii="Consolas" w:cs="Consolas" w:eastAsia="Consolas" w:hAnsi="Consolas"/>
                <w:b w:val="false"/>
                <w:bCs w:val="false"/>
                <w:sz w:val="20"/>
                <w:szCs w:val="20"/>
              </w:rPr>
              <w:t xml:space="preserve">iId</w:t>
            </w:r>
          </w:p>
        </w:tc>
        <w:tc>
          <w:tcPr>
            <w:tcW w:type="dxa" w:w="2000"/>
          </w:tcPr>
          <w:p>
            <w:r>
              <w:rPr>
                <w:b w:val="false"/>
                <w:bCs w:val="false"/>
              </w:rPr>
              <w:t xml:space="preserve">INT IDENTITY</w:t>
            </w:r>
          </w:p>
        </w:tc>
        <w:tc>
          <w:tcPr>
            <w:tcW w:type="dxa" w:w="5350"/>
          </w:tcPr>
          <w:p>
            <w:r>
              <w:rPr>
                <w:b w:val="false"/>
                <w:bCs w:val="false"/>
              </w:rPr>
              <w:t xml:space="preserve">PK; aligned with the audit user-id columns used across modules</w:t>
            </w:r>
          </w:p>
        </w:tc>
      </w:tr>
      <w:tr>
        <w:tc>
          <w:tcPr>
            <w:tcW w:type="dxa" w:w="2000"/>
          </w:tcPr>
          <w:p>
            <w:r>
              <w:rPr>
                <w:rFonts w:ascii="Consolas" w:cs="Consolas" w:eastAsia="Consolas" w:hAnsi="Consolas"/>
                <w:b w:val="false"/>
                <w:bCs w:val="false"/>
                <w:sz w:val="20"/>
                <w:szCs w:val="20"/>
              </w:rPr>
              <w:t xml:space="preserve">sUsername</w:t>
            </w:r>
          </w:p>
        </w:tc>
        <w:tc>
          <w:tcPr>
            <w:tcW w:type="dxa" w:w="2000"/>
          </w:tcPr>
          <w:p>
            <w:r>
              <w:rPr>
                <w:b w:val="false"/>
                <w:bCs w:val="false"/>
              </w:rPr>
              <w:t xml:space="preserve">nvarchar(100)</w:t>
            </w:r>
          </w:p>
        </w:tc>
        <w:tc>
          <w:tcPr>
            <w:tcW w:type="dxa" w:w="5350"/>
          </w:tcPr>
          <w:p>
            <w:r>
              <w:rPr>
                <w:b w:val="false"/>
                <w:bCs w:val="false"/>
              </w:rPr>
              <w:t xml:space="preserve">unique; for Google-only accounts, generated as google_&lt;local-part-of-email&gt;</w:t>
            </w:r>
          </w:p>
        </w:tc>
      </w:tr>
      <w:tr>
        <w:tc>
          <w:tcPr>
            <w:tcW w:type="dxa" w:w="2000"/>
          </w:tcPr>
          <w:p>
            <w:r>
              <w:rPr>
                <w:rFonts w:ascii="Consolas" w:cs="Consolas" w:eastAsia="Consolas" w:hAnsi="Consolas"/>
                <w:b w:val="false"/>
                <w:bCs w:val="false"/>
                <w:sz w:val="20"/>
                <w:szCs w:val="20"/>
              </w:rPr>
              <w:t xml:space="preserve">sEmail</w:t>
            </w:r>
          </w:p>
        </w:tc>
        <w:tc>
          <w:tcPr>
            <w:tcW w:type="dxa" w:w="2000"/>
          </w:tcPr>
          <w:p>
            <w:r>
              <w:rPr>
                <w:b w:val="false"/>
                <w:bCs w:val="false"/>
              </w:rPr>
              <w:t xml:space="preserve">nvarchar(256)</w:t>
            </w:r>
          </w:p>
        </w:tc>
        <w:tc>
          <w:tcPr>
            <w:tcW w:type="dxa" w:w="5350"/>
          </w:tcPr>
          <w:p>
            <w:r>
              <w:rPr>
                <w:b w:val="false"/>
                <w:bCs w:val="false"/>
              </w:rPr>
              <w:t xml:space="preserve">null</w:t>
            </w:r>
          </w:p>
        </w:tc>
      </w:tr>
      <w:tr>
        <w:tc>
          <w:tcPr>
            <w:tcW w:type="dxa" w:w="2000"/>
          </w:tcPr>
          <w:p>
            <w:r>
              <w:rPr>
                <w:rFonts w:ascii="Consolas" w:cs="Consolas" w:eastAsia="Consolas" w:hAnsi="Consolas"/>
                <w:b w:val="false"/>
                <w:bCs w:val="false"/>
                <w:sz w:val="20"/>
                <w:szCs w:val="20"/>
              </w:rPr>
              <w:t xml:space="preserve">sDisplayName</w:t>
            </w:r>
          </w:p>
        </w:tc>
        <w:tc>
          <w:tcPr>
            <w:tcW w:type="dxa" w:w="2000"/>
          </w:tcPr>
          <w:p>
            <w:r>
              <w:rPr>
                <w:b w:val="false"/>
                <w:bCs w:val="false"/>
              </w:rPr>
              <w:t xml:space="preserve">nvarchar(200)</w:t>
            </w:r>
          </w:p>
        </w:tc>
        <w:tc>
          <w:tcPr>
            <w:tcW w:type="dxa" w:w="5350"/>
          </w:tcPr>
          <w:p>
            <w:r>
              <w:rPr>
                <w:b w:val="false"/>
                <w:bCs w:val="false"/>
              </w:rPr>
              <w:t xml:space="preserve">null</w:t>
            </w:r>
          </w:p>
        </w:tc>
      </w:tr>
      <w:tr>
        <w:tc>
          <w:tcPr>
            <w:tcW w:type="dxa" w:w="2000"/>
          </w:tcPr>
          <w:p>
            <w:r>
              <w:rPr>
                <w:rFonts w:ascii="Consolas" w:cs="Consolas" w:eastAsia="Consolas" w:hAnsi="Consolas"/>
                <w:b w:val="false"/>
                <w:bCs w:val="false"/>
                <w:sz w:val="20"/>
                <w:szCs w:val="20"/>
              </w:rPr>
              <w:t xml:space="preserve">sPasswordHash</w:t>
            </w:r>
          </w:p>
        </w:tc>
        <w:tc>
          <w:tcPr>
            <w:tcW w:type="dxa" w:w="2000"/>
          </w:tcPr>
          <w:p>
            <w:r>
              <w:rPr>
                <w:b w:val="false"/>
                <w:bCs w:val="false"/>
              </w:rPr>
              <w:t xml:space="preserve">nvarchar(256)</w:t>
            </w:r>
          </w:p>
        </w:tc>
        <w:tc>
          <w:tcPr>
            <w:tcW w:type="dxa" w:w="5350"/>
          </w:tcPr>
          <w:p>
            <w:r>
              <w:rPr>
                <w:b w:val="false"/>
                <w:bCs w:val="false"/>
              </w:rPr>
              <w:t xml:space="preserve">nullable â€” Google-only accounts never set one; hashed via PasswordHasher when set</w:t>
            </w:r>
          </w:p>
        </w:tc>
      </w:tr>
      <w:tr>
        <w:tc>
          <w:tcPr>
            <w:tcW w:type="dxa" w:w="2000"/>
          </w:tcPr>
          <w:p>
            <w:r>
              <w:rPr>
                <w:rFonts w:ascii="Consolas" w:cs="Consolas" w:eastAsia="Consolas" w:hAnsi="Consolas"/>
                <w:b w:val="false"/>
                <w:bCs w:val="false"/>
                <w:sz w:val="20"/>
                <w:szCs w:val="20"/>
              </w:rPr>
              <w:t xml:space="preserve">btIsActive</w:t>
            </w:r>
          </w:p>
        </w:tc>
        <w:tc>
          <w:tcPr>
            <w:tcW w:type="dxa" w:w="2000"/>
          </w:tcPr>
          <w:p>
            <w:r>
              <w:rPr>
                <w:b w:val="false"/>
                <w:bCs w:val="false"/>
              </w:rPr>
              <w:t xml:space="preserve">bit</w:t>
            </w:r>
          </w:p>
        </w:tc>
        <w:tc>
          <w:tcPr>
            <w:tcW w:type="dxa" w:w="5350"/>
          </w:tcPr>
          <w:p>
            <w:r>
              <w:rPr>
                <w:b w:val="false"/>
                <w:bCs w:val="false"/>
              </w:rPr>
              <w:t xml:space="preserve">default 1; revalidated by the Bff every 5 minutes for signed-in sessions</w:t>
            </w:r>
          </w:p>
        </w:tc>
      </w:tr>
      <w:tr>
        <w:tc>
          <w:tcPr>
            <w:tcW w:type="dxa" w:w="2000"/>
          </w:tcPr>
          <w:p>
            <w:r>
              <w:rPr>
                <w:rFonts w:ascii="Consolas" w:cs="Consolas" w:eastAsia="Consolas" w:hAnsi="Consolas"/>
                <w:b w:val="false"/>
                <w:bCs w:val="false"/>
                <w:sz w:val="20"/>
                <w:szCs w:val="20"/>
              </w:rPr>
              <w:t xml:space="preserve">btIsTemplateUser</w:t>
            </w:r>
          </w:p>
        </w:tc>
        <w:tc>
          <w:tcPr>
            <w:tcW w:type="dxa" w:w="2000"/>
          </w:tcPr>
          <w:p>
            <w:r>
              <w:rPr>
                <w:b w:val="false"/>
                <w:bCs w:val="false"/>
              </w:rPr>
              <w:t xml:space="preserve">bit</w:t>
            </w:r>
          </w:p>
        </w:tc>
        <w:tc>
          <w:tcPr>
            <w:tcW w:type="dxa" w:w="5350"/>
          </w:tcPr>
          <w:p>
            <w:r>
              <w:rPr>
                <w:b w:val="false"/>
                <w:bCs w:val="false"/>
              </w:rPr>
              <w:t xml:space="preserve">default 0; marks this user reusable as a permission template for other users</w:t>
            </w:r>
          </w:p>
        </w:tc>
      </w:tr>
      <w:tr>
        <w:tc>
          <w:tcPr>
            <w:tcW w:type="dxa" w:w="2000"/>
          </w:tcPr>
          <w:p>
            <w:r>
              <w:rPr>
                <w:rFonts w:ascii="Consolas" w:cs="Consolas" w:eastAsia="Consolas" w:hAnsi="Consolas"/>
                <w:b w:val="false"/>
                <w:bCs w:val="false"/>
                <w:sz w:val="20"/>
                <w:szCs w:val="20"/>
              </w:rPr>
              <w:t xml:space="preserve">iParentId</w:t>
            </w:r>
          </w:p>
        </w:tc>
        <w:tc>
          <w:tcPr>
            <w:tcW w:type="dxa" w:w="2000"/>
          </w:tcPr>
          <w:p>
            <w:r>
              <w:rPr>
                <w:b w:val="false"/>
                <w:bCs w:val="false"/>
              </w:rPr>
              <w:t xml:space="preserve">int</w:t>
            </w:r>
          </w:p>
        </w:tc>
        <w:tc>
          <w:tcPr>
            <w:tcW w:type="dxa" w:w="5350"/>
          </w:tcPr>
          <w:p>
            <w:r>
              <w:rPr>
                <w:b w:val="false"/>
                <w:bCs w:val="false"/>
              </w:rPr>
              <w:t xml:space="preserve">nullable, self-FK (Restrict) -&gt; Users; template user this user inherits permissions from (one level only)</w:t>
            </w:r>
          </w:p>
        </w:tc>
      </w:tr>
      <w:tr>
        <w:tc>
          <w:tcPr>
            <w:tcW w:type="dxa" w:w="2000"/>
          </w:tcPr>
          <w:p>
            <w:r>
              <w:rPr>
                <w:rFonts w:ascii="Consolas" w:cs="Consolas" w:eastAsia="Consolas" w:hAnsi="Consolas"/>
                <w:b w:val="false"/>
                <w:bCs w:val="false"/>
                <w:sz w:val="20"/>
                <w:szCs w:val="20"/>
              </w:rPr>
              <w:t xml:space="preserve">dtInsertedTime</w:t>
            </w:r>
          </w:p>
        </w:tc>
        <w:tc>
          <w:tcPr>
            <w:tcW w:type="dxa" w:w="2000"/>
          </w:tcPr>
          <w:p>
            <w:r>
              <w:rPr>
                <w:b w:val="false"/>
                <w:bCs w:val="false"/>
              </w:rPr>
              <w:t xml:space="preserve">datetime2(3)</w:t>
            </w:r>
          </w:p>
        </w:tc>
        <w:tc>
          <w:tcPr>
            <w:tcW w:type="dxa" w:w="5350"/>
          </w:tcPr>
          <w:p>
            <w:r>
              <w:rPr>
                <w:b w:val="false"/>
                <w:bCs w:val="false"/>
              </w:rPr>
              <w:t xml:space="preserve">
              </w:t>
            </w:r>
          </w:p>
        </w:tc>
      </w:tr>
      <w:tr>
        <w:tc>
          <w:tcPr>
            <w:tcW w:type="dxa" w:w="2000"/>
          </w:tcPr>
          <w:p>
            <w:r>
              <w:rPr>
                <w:rFonts w:ascii="Consolas" w:cs="Consolas" w:eastAsia="Consolas" w:hAnsi="Consolas"/>
                <w:b w:val="false"/>
                <w:bCs w:val="false"/>
                <w:sz w:val="20"/>
                <w:szCs w:val="20"/>
              </w:rPr>
              <w:t xml:space="preserve">dtUpdatedTime</w:t>
            </w:r>
          </w:p>
        </w:tc>
        <w:tc>
          <w:tcPr>
            <w:tcW w:type="dxa" w:w="2000"/>
          </w:tcPr>
          <w:p>
            <w:r>
              <w:rPr>
                <w:b w:val="false"/>
                <w:bCs w:val="false"/>
              </w:rPr>
              <w:t xml:space="preserve">datetime2(3)</w:t>
            </w:r>
          </w:p>
        </w:tc>
        <w:tc>
          <w:tcPr>
            <w:tcW w:type="dxa" w:w="5350"/>
          </w:tcPr>
          <w:p>
            <w:r>
              <w:rPr>
                <w:b w:val="false"/>
                <w:bCs w:val="false"/>
              </w:rPr>
              <w:t xml:space="preserve">null</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50"/>
      </w:tblGrid>
      <w:tr>
        <w:tc>
          <w:tcPr>
            <w:tcW w:type="dxa" w:w="2000"/>
            <w:shd w:fill="E7E6E6" w:val="clear"/>
          </w:tcPr>
          <w:p>
            <w:r>
              <w:rPr>
                <w:b/>
                <w:bCs/>
              </w:rPr>
              <w:t xml:space="preserve">Column</w:t>
            </w:r>
          </w:p>
        </w:tc>
        <w:tc>
          <w:tcPr>
            <w:tcW w:type="dxa" w:w="2000"/>
            <w:shd w:fill="E7E6E6" w:val="clear"/>
          </w:tcPr>
          <w:p>
            <w:r>
              <w:rPr>
                <w:b/>
                <w:bCs/>
              </w:rPr>
              <w:t xml:space="preserve">Type</w:t>
            </w:r>
          </w:p>
        </w:tc>
        <w:tc>
          <w:tcPr>
            <w:tcW w:type="dxa" w:w="5350"/>
            <w:shd w:fill="E7E6E6" w:val="clear"/>
          </w:tcPr>
          <w:p>
            <w:r>
              <w:rPr>
                <w:b/>
                <w:bCs/>
              </w:rPr>
              <w:t xml:space="preserve">Notes</w:t>
            </w:r>
          </w:p>
        </w:tc>
      </w:tr>
      <w:tr>
        <w:tc>
          <w:tcPr>
            <w:tcW w:type="dxa" w:w="2000"/>
          </w:tcPr>
          <w:p>
            <w:r>
              <w:rPr>
                <w:rFonts w:ascii="Consolas" w:cs="Consolas" w:eastAsia="Consolas" w:hAnsi="Consolas"/>
                <w:b w:val="false"/>
                <w:bCs w:val="false"/>
                <w:sz w:val="20"/>
                <w:szCs w:val="20"/>
              </w:rPr>
              <w:t xml:space="preserve">iId</w:t>
            </w:r>
          </w:p>
        </w:tc>
        <w:tc>
          <w:tcPr>
            <w:tcW w:type="dxa" w:w="2000"/>
          </w:tcPr>
          <w:p>
            <w:r>
              <w:rPr>
                <w:b w:val="false"/>
                <w:bCs w:val="false"/>
              </w:rPr>
              <w:t xml:space="preserve">INT IDENTITY</w:t>
            </w:r>
          </w:p>
        </w:tc>
        <w:tc>
          <w:tcPr>
            <w:tcW w:type="dxa" w:w="5350"/>
          </w:tcPr>
          <w:p>
            <w:r>
              <w:rPr>
                <w:b w:val="false"/>
                <w:bCs w:val="false"/>
              </w:rPr>
              <w:t xml:space="preserve">PK</w:t>
            </w:r>
          </w:p>
        </w:tc>
      </w:tr>
      <w:tr>
        <w:tc>
          <w:tcPr>
            <w:tcW w:type="dxa" w:w="2000"/>
          </w:tcPr>
          <w:p>
            <w:r>
              <w:rPr>
                <w:rFonts w:ascii="Consolas" w:cs="Consolas" w:eastAsia="Consolas" w:hAnsi="Consolas"/>
                <w:b w:val="false"/>
                <w:bCs w:val="false"/>
                <w:sz w:val="20"/>
                <w:szCs w:val="20"/>
              </w:rPr>
              <w:t xml:space="preserve">iUserId</w:t>
            </w:r>
          </w:p>
        </w:tc>
        <w:tc>
          <w:tcPr>
            <w:tcW w:type="dxa" w:w="2000"/>
          </w:tcPr>
          <w:p>
            <w:r>
              <w:rPr>
                <w:b w:val="false"/>
                <w:bCs w:val="false"/>
              </w:rPr>
              <w:t xml:space="preserve">int</w:t>
            </w:r>
          </w:p>
        </w:tc>
        <w:tc>
          <w:tcPr>
            <w:tcW w:type="dxa" w:w="5350"/>
          </w:tcPr>
          <w:p>
            <w:r>
              <w:rPr>
                <w:b w:val="false"/>
                <w:bCs w:val="false"/>
              </w:rPr>
              <w:t xml:space="preserve">FK -&gt; Users</w:t>
            </w:r>
          </w:p>
        </w:tc>
      </w:tr>
      <w:tr>
        <w:tc>
          <w:tcPr>
            <w:tcW w:type="dxa" w:w="2000"/>
          </w:tcPr>
          <w:p>
            <w:r>
              <w:rPr>
                <w:rFonts w:ascii="Consolas" w:cs="Consolas" w:eastAsia="Consolas" w:hAnsi="Consolas"/>
                <w:b w:val="false"/>
                <w:bCs w:val="false"/>
                <w:sz w:val="20"/>
                <w:szCs w:val="20"/>
              </w:rPr>
              <w:t xml:space="preserve">sProvider</w:t>
            </w:r>
          </w:p>
        </w:tc>
        <w:tc>
          <w:tcPr>
            <w:tcW w:type="dxa" w:w="2000"/>
          </w:tcPr>
          <w:p>
            <w:r>
              <w:rPr>
                <w:b w:val="false"/>
                <w:bCs w:val="false"/>
              </w:rPr>
              <w:t xml:space="preserve">nvarchar(50)</w:t>
            </w:r>
          </w:p>
        </w:tc>
        <w:tc>
          <w:tcPr>
            <w:tcW w:type="dxa" w:w="5350"/>
          </w:tcPr>
          <w:p>
            <w:r>
              <w:rPr>
                <w:b w:val="false"/>
                <w:bCs w:val="false"/>
              </w:rPr>
              <w:t xml:space="preserve">e.g. "Google"</w:t>
            </w:r>
          </w:p>
        </w:tc>
      </w:tr>
      <w:tr>
        <w:tc>
          <w:tcPr>
            <w:tcW w:type="dxa" w:w="2000"/>
          </w:tcPr>
          <w:p>
            <w:r>
              <w:rPr>
                <w:rFonts w:ascii="Consolas" w:cs="Consolas" w:eastAsia="Consolas" w:hAnsi="Consolas"/>
                <w:b w:val="false"/>
                <w:bCs w:val="false"/>
                <w:sz w:val="20"/>
                <w:szCs w:val="20"/>
              </w:rPr>
              <w:t xml:space="preserve">sProviderKey</w:t>
            </w:r>
          </w:p>
        </w:tc>
        <w:tc>
          <w:tcPr>
            <w:tcW w:type="dxa" w:w="2000"/>
          </w:tcPr>
          <w:p>
            <w:r>
              <w:rPr>
                <w:b w:val="false"/>
                <w:bCs w:val="false"/>
              </w:rPr>
              <w:t xml:space="preserve">nvarchar(256)</w:t>
            </w:r>
          </w:p>
        </w:tc>
        <w:tc>
          <w:tcPr>
            <w:tcW w:type="dxa" w:w="5350"/>
          </w:tcPr>
          <w:p>
            <w:r>
              <w:rPr>
                <w:b w:val="false"/>
                <w:bCs w:val="false"/>
              </w:rPr>
              <w:t xml:space="preserve">the provider's stable subject id (Google's sub claim)</w:t>
            </w:r>
          </w:p>
        </w:tc>
      </w:tr>
      <w:tr>
        <w:tc>
          <w:tcPr>
            <w:tcW w:type="dxa" w:w="2000"/>
          </w:tcPr>
          <w:p>
            <w:r>
              <w:rPr>
                <w:rFonts w:ascii="Consolas" w:cs="Consolas" w:eastAsia="Consolas" w:hAnsi="Consolas"/>
                <w:b w:val="false"/>
                <w:bCs w:val="false"/>
                <w:sz w:val="20"/>
                <w:szCs w:val="20"/>
              </w:rPr>
              <w:t xml:space="preserve">dtInsertedTime</w:t>
            </w:r>
          </w:p>
        </w:tc>
        <w:tc>
          <w:tcPr>
            <w:tcW w:type="dxa" w:w="2000"/>
          </w:tcPr>
          <w:p>
            <w:r>
              <w:rPr>
                <w:b w:val="false"/>
                <w:bCs w:val="false"/>
              </w:rPr>
              <w:t xml:space="preserve">datetime2(3)</w:t>
            </w:r>
          </w:p>
        </w:tc>
        <w:tc>
          <w:tcPr>
            <w:tcW w:type="dxa" w:w="5350"/>
          </w:tcPr>
          <w:p>
            <w:r>
              <w:rPr>
                <w:b w:val="false"/>
                <w:bCs w:val="false"/>
              </w:rPr>
              <w:t xml:space="preserve">
              </w:t>
            </w:r>
          </w:p>
        </w:tc>
      </w:tr>
    </w:tbl>
    <w:p>
      <w:pPr>
        <w:pStyle w:val="Heading2"/>
        <w:spacing w:after="120" w:before="260"/>
      </w:pPr>
      <w:r>
        <w:t xml:space="preserve">4.4 OCRWeb.DocumentProcessing - Partial Implemented</w:t>
      </w:r>
    </w:p>
    <w:p>
      <w:pPr>
        <w:spacing w:after="140"/>
      </w:pPr>
      <w:r>
        <w:t xml:space="preserve">Responsibility: PDF handling (upload, crop; split/section later). Owns the [docproc] schema. PDF manipulation uses PDFsharp (MIT): the IPdfManipulator port is in Application, the PdfSharpManipulator adapter in Infrastructure.</w:t>
      </w:r>
    </w:p>
    <w:p>
      <w:pPr>
        <w:pStyle w:val="Heading3"/>
        <w:spacing w:after="100" w:before="200"/>
      </w:pPr>
      <w:r>
        <w:t xml:space="preserve">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7E6E6" w:val="clear"/>
          </w:tcPr>
          <w:p>
            <w:r>
              <w:rPr>
                <w:b/>
                <w:bCs/>
              </w:rPr>
              <w:t xml:space="preserve">Layer</w:t>
            </w:r>
          </w:p>
        </w:tc>
        <w:tc>
          <w:tcPr>
            <w:tcW w:type="dxa" w:w="7150"/>
            <w:shd w:fill="E7E6E6" w:val="clear"/>
          </w:tcPr>
          <w:p>
            <w:r>
              <w:rPr>
                <w:b/>
                <w:bCs/>
              </w:rPr>
              <w:t xml:space="preserve">Contents</w:t>
            </w:r>
          </w:p>
        </w:tc>
      </w:tr>
      <w:tr>
        <w:tc>
          <w:tcPr>
            <w:tcW w:type="dxa" w:w="2200"/>
          </w:tcPr>
          <w:p>
            <w:r>
              <w:rPr>
                <w:b w:val="false"/>
                <w:bCs w:val="false"/>
              </w:rPr>
              <w:t xml:space="preserve">Domain</w:t>
            </w:r>
          </w:p>
        </w:tc>
        <w:tc>
          <w:tcPr>
            <w:tcW w:type="dxa" w:w="7150"/>
          </w:tcPr>
          <w:p>
            <w:r>
              <w:rPr>
                <w:b w:val="false"/>
                <w:bCs w:val="false"/>
              </w:rPr>
              <w:t xml:space="preserve">Entity/PdfFile + PdfFileContent; Repositories/IPdfFileRepository; ValueObjects/FileChecksum + FileProperties; Enums/PdfFileType</w:t>
            </w:r>
          </w:p>
        </w:tc>
      </w:tr>
      <w:tr>
        <w:tc>
          <w:tcPr>
            <w:tcW w:type="dxa" w:w="2200"/>
          </w:tcPr>
          <w:p>
            <w:r>
              <w:rPr>
                <w:b w:val="false"/>
                <w:bCs w:val="false"/>
              </w:rPr>
              <w:t xml:space="preserve">Application</w:t>
            </w:r>
          </w:p>
        </w:tc>
        <w:tc>
          <w:tcPr>
            <w:tcW w:type="dxa" w:w="7150"/>
          </w:tcPr>
          <w:p>
            <w:r>
              <w:rPr>
                <w:b w:val="false"/>
                <w:bCs w:val="false"/>
              </w:rPr>
              <w:t xml:space="preserve">Commands/UploadPdf + CropPdf; Queries/ListPdfFiles + GetPdfFileDetail + GetPdfFileContent; Interfaces/IPdfManipulator</w:t>
            </w:r>
          </w:p>
        </w:tc>
      </w:tr>
      <w:tr>
        <w:tc>
          <w:tcPr>
            <w:tcW w:type="dxa" w:w="2200"/>
          </w:tcPr>
          <w:p>
            <w:r>
              <w:rPr>
                <w:b w:val="false"/>
                <w:bCs w:val="false"/>
              </w:rPr>
              <w:t xml:space="preserve">Infrastructure</w:t>
            </w:r>
          </w:p>
        </w:tc>
        <w:tc>
          <w:tcPr>
            <w:tcW w:type="dxa" w:w="7150"/>
          </w:tcPr>
          <w:p>
            <w:r>
              <w:rPr>
                <w:b w:val="false"/>
                <w:bCs w:val="false"/>
              </w:rPr>
              <w:t xml:space="preserve">DocumentProcessingDbContext; Configurations; Repositories; PdfSharpManipulator; DesignTimeDbContextFactory; ModuleRegistration</w:t>
            </w:r>
          </w:p>
        </w:tc>
      </w:tr>
    </w:tbl>
    <w:p>
      <w:pPr>
        <w:spacing w:after="140"/>
      </w:pPr>
      <w:r>
        <w:t xml:space="preserve">Database: [docproc].[PDFFiles] (metadata)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50"/>
      </w:tblGrid>
      <w:tr>
        <w:tc>
          <w:tcPr>
            <w:tcW w:type="dxa" w:w="2000"/>
            <w:shd w:fill="E7E6E6" w:val="clear"/>
          </w:tcPr>
          <w:p>
            <w:r>
              <w:rPr>
                <w:b/>
                <w:bCs/>
              </w:rPr>
              <w:t xml:space="preserve">Column</w:t>
            </w:r>
          </w:p>
        </w:tc>
        <w:tc>
          <w:tcPr>
            <w:tcW w:type="dxa" w:w="2000"/>
            <w:shd w:fill="E7E6E6" w:val="clear"/>
          </w:tcPr>
          <w:p>
            <w:r>
              <w:rPr>
                <w:b/>
                <w:bCs/>
              </w:rPr>
              <w:t xml:space="preserve">Type</w:t>
            </w:r>
          </w:p>
        </w:tc>
        <w:tc>
          <w:tcPr>
            <w:tcW w:type="dxa" w:w="5350"/>
            <w:shd w:fill="E7E6E6" w:val="clear"/>
          </w:tcPr>
          <w:p>
            <w:r>
              <w:rPr>
                <w:b/>
                <w:bCs/>
              </w:rPr>
              <w:t xml:space="preserve">Notes</w:t>
            </w:r>
          </w:p>
        </w:tc>
      </w:tr>
      <w:tr>
        <w:tc>
          <w:tcPr>
            <w:tcW w:type="dxa" w:w="2000"/>
          </w:tcPr>
          <w:p>
            <w:r>
              <w:rPr>
                <w:rFonts w:ascii="Consolas" w:cs="Consolas" w:eastAsia="Consolas" w:hAnsi="Consolas"/>
                <w:b w:val="false"/>
                <w:bCs w:val="false"/>
                <w:sz w:val="20"/>
                <w:szCs w:val="20"/>
              </w:rPr>
              <w:t xml:space="preserve">Id</w:t>
            </w:r>
          </w:p>
        </w:tc>
        <w:tc>
          <w:tcPr>
            <w:tcW w:type="dxa" w:w="2000"/>
          </w:tcPr>
          <w:p>
            <w:r>
              <w:rPr>
                <w:b w:val="false"/>
                <w:bCs w:val="false"/>
              </w:rPr>
              <w:t xml:space="preserve">uniqueidentifier</w:t>
            </w:r>
          </w:p>
        </w:tc>
        <w:tc>
          <w:tcPr>
            <w:tcW w:type="dxa" w:w="5350"/>
          </w:tcPr>
          <w:p>
            <w:r>
              <w:rPr>
                <w:b w:val="false"/>
                <w:bCs w:val="false"/>
              </w:rPr>
              <w:t xml:space="preserve">PK</w:t>
            </w:r>
          </w:p>
        </w:tc>
      </w:tr>
      <w:tr>
        <w:tc>
          <w:tcPr>
            <w:tcW w:type="dxa" w:w="2000"/>
          </w:tcPr>
          <w:p>
            <w:r>
              <w:rPr>
                <w:rFonts w:ascii="Consolas" w:cs="Consolas" w:eastAsia="Consolas" w:hAnsi="Consolas"/>
                <w:b w:val="false"/>
                <w:bCs w:val="false"/>
                <w:sz w:val="20"/>
                <w:szCs w:val="20"/>
              </w:rPr>
              <w:t xml:space="preserve">ProjectId</w:t>
            </w:r>
          </w:p>
        </w:tc>
        <w:tc>
          <w:tcPr>
            <w:tcW w:type="dxa" w:w="2000"/>
          </w:tcPr>
          <w:p>
            <w:r>
              <w:rPr>
                <w:b w:val="false"/>
                <w:bCs w:val="false"/>
              </w:rPr>
              <w:t xml:space="preserve">uniqueidentifier</w:t>
            </w:r>
          </w:p>
        </w:tc>
        <w:tc>
          <w:tcPr>
            <w:tcW w:type="dxa" w:w="5350"/>
          </w:tcPr>
          <w:p>
            <w:r>
              <w:rPr>
                <w:b w:val="false"/>
                <w:bCs w:val="false"/>
              </w:rPr>
              <w:t xml:space="preserve">cross-context reference by id</w:t>
            </w:r>
          </w:p>
        </w:tc>
      </w:tr>
      <w:tr>
        <w:tc>
          <w:tcPr>
            <w:tcW w:type="dxa" w:w="2000"/>
          </w:tcPr>
          <w:p>
            <w:r>
              <w:rPr>
                <w:rFonts w:ascii="Consolas" w:cs="Consolas" w:eastAsia="Consolas" w:hAnsi="Consolas"/>
                <w:b w:val="false"/>
                <w:bCs w:val="false"/>
                <w:sz w:val="20"/>
                <w:szCs w:val="20"/>
              </w:rPr>
              <w:t xml:space="preserve">sFileName</w:t>
            </w:r>
          </w:p>
        </w:tc>
        <w:tc>
          <w:tcPr>
            <w:tcW w:type="dxa" w:w="2000"/>
          </w:tcPr>
          <w:p>
            <w:r>
              <w:rPr>
                <w:b w:val="false"/>
                <w:bCs w:val="false"/>
              </w:rPr>
              <w:t xml:space="preserve">nvarchar(255)</w:t>
            </w:r>
          </w:p>
        </w:tc>
        <w:tc>
          <w:tcPr>
            <w:tcW w:type="dxa" w:w="5350"/>
          </w:tcPr>
          <w:p>
            <w:r>
              <w:rPr>
                <w:b w:val="false"/>
                <w:bCs w:val="false"/>
              </w:rPr>
              <w:t xml:space="preserve">
              </w:t>
            </w:r>
          </w:p>
        </w:tc>
      </w:tr>
      <w:tr>
        <w:tc>
          <w:tcPr>
            <w:tcW w:type="dxa" w:w="2000"/>
          </w:tcPr>
          <w:p>
            <w:r>
              <w:rPr>
                <w:rFonts w:ascii="Consolas" w:cs="Consolas" w:eastAsia="Consolas" w:hAnsi="Consolas"/>
                <w:b w:val="false"/>
                <w:bCs w:val="false"/>
                <w:sz w:val="20"/>
                <w:szCs w:val="20"/>
              </w:rPr>
              <w:t xml:space="preserve">sContentType</w:t>
            </w:r>
          </w:p>
        </w:tc>
        <w:tc>
          <w:tcPr>
            <w:tcW w:type="dxa" w:w="2000"/>
          </w:tcPr>
          <w:p>
            <w:r>
              <w:rPr>
                <w:b w:val="false"/>
                <w:bCs w:val="false"/>
              </w:rPr>
              <w:t xml:space="preserve">nvarchar(100)</w:t>
            </w:r>
          </w:p>
        </w:tc>
        <w:tc>
          <w:tcPr>
            <w:tcW w:type="dxa" w:w="5350"/>
          </w:tcPr>
          <w:p>
            <w:r>
              <w:rPr>
                <w:b w:val="false"/>
                <w:bCs w:val="false"/>
              </w:rPr>
              <w:t xml:space="preserve">
              </w:t>
            </w:r>
          </w:p>
        </w:tc>
      </w:tr>
      <w:tr>
        <w:tc>
          <w:tcPr>
            <w:tcW w:type="dxa" w:w="2000"/>
          </w:tcPr>
          <w:p>
            <w:r>
              <w:rPr>
                <w:rFonts w:ascii="Consolas" w:cs="Consolas" w:eastAsia="Consolas" w:hAnsi="Consolas"/>
                <w:b w:val="false"/>
                <w:bCs w:val="false"/>
                <w:sz w:val="20"/>
                <w:szCs w:val="20"/>
              </w:rPr>
              <w:t xml:space="preserve">biSizeBytes</w:t>
            </w:r>
          </w:p>
        </w:tc>
        <w:tc>
          <w:tcPr>
            <w:tcW w:type="dxa" w:w="2000"/>
          </w:tcPr>
          <w:p>
            <w:r>
              <w:rPr>
                <w:b w:val="false"/>
                <w:bCs w:val="false"/>
              </w:rPr>
              <w:t xml:space="preserve">bigint</w:t>
            </w:r>
          </w:p>
        </w:tc>
        <w:tc>
          <w:tcPr>
            <w:tcW w:type="dxa" w:w="5350"/>
          </w:tcPr>
          <w:p>
            <w:r>
              <w:rPr>
                <w:b w:val="false"/>
                <w:bCs w:val="false"/>
              </w:rPr>
              <w:t xml:space="preserve">
              </w:t>
            </w:r>
          </w:p>
        </w:tc>
      </w:tr>
      <w:tr>
        <w:tc>
          <w:tcPr>
            <w:tcW w:type="dxa" w:w="2000"/>
          </w:tcPr>
          <w:p>
            <w:r>
              <w:rPr>
                <w:rFonts w:ascii="Consolas" w:cs="Consolas" w:eastAsia="Consolas" w:hAnsi="Consolas"/>
                <w:b w:val="false"/>
                <w:bCs w:val="false"/>
                <w:sz w:val="20"/>
                <w:szCs w:val="20"/>
              </w:rPr>
              <w:t xml:space="preserve">binChecksum</w:t>
            </w:r>
          </w:p>
        </w:tc>
        <w:tc>
          <w:tcPr>
            <w:tcW w:type="dxa" w:w="2000"/>
          </w:tcPr>
          <w:p>
            <w:r>
              <w:rPr>
                <w:b w:val="false"/>
                <w:bCs w:val="false"/>
              </w:rPr>
              <w:t xml:space="preserve">varbinary(32)</w:t>
            </w:r>
          </w:p>
        </w:tc>
        <w:tc>
          <w:tcPr>
            <w:tcW w:type="dxa" w:w="5350"/>
          </w:tcPr>
          <w:p>
            <w:r>
              <w:rPr>
                <w:b w:val="false"/>
                <w:bCs w:val="false"/>
              </w:rPr>
              <w:t xml:space="preserve">SHA-256</w:t>
            </w:r>
          </w:p>
        </w:tc>
      </w:tr>
      <w:tr>
        <w:tc>
          <w:tcPr>
            <w:tcW w:type="dxa" w:w="2000"/>
          </w:tcPr>
          <w:p>
            <w:r>
              <w:rPr>
                <w:rFonts w:ascii="Consolas" w:cs="Consolas" w:eastAsia="Consolas" w:hAnsi="Consolas"/>
                <w:b w:val="false"/>
                <w:bCs w:val="false"/>
                <w:sz w:val="20"/>
                <w:szCs w:val="20"/>
              </w:rPr>
              <w:t xml:space="preserve">iFileType</w:t>
            </w:r>
          </w:p>
        </w:tc>
        <w:tc>
          <w:tcPr>
            <w:tcW w:type="dxa" w:w="2000"/>
          </w:tcPr>
          <w:p>
            <w:r>
              <w:rPr>
                <w:b w:val="false"/>
                <w:bCs w:val="false"/>
              </w:rPr>
              <w:t xml:space="preserve">int</w:t>
            </w:r>
          </w:p>
        </w:tc>
        <w:tc>
          <w:tcPr>
            <w:tcW w:type="dxa" w:w="5350"/>
          </w:tcPr>
          <w:p>
            <w:r>
              <w:rPr>
                <w:b w:val="false"/>
                <w:bCs w:val="false"/>
              </w:rPr>
              <w:t xml:space="preserve">0=Original, 1=Cropped, 2=Section (default 0; validated by C# enum)</w:t>
            </w:r>
          </w:p>
        </w:tc>
      </w:tr>
      <w:tr>
        <w:tc>
          <w:tcPr>
            <w:tcW w:type="dxa" w:w="2000"/>
          </w:tcPr>
          <w:p>
            <w:r>
              <w:rPr>
                <w:rFonts w:ascii="Consolas" w:cs="Consolas" w:eastAsia="Consolas" w:hAnsi="Consolas"/>
                <w:b w:val="false"/>
                <w:bCs w:val="false"/>
                <w:sz w:val="20"/>
                <w:szCs w:val="20"/>
              </w:rPr>
              <w:t xml:space="preserve">sFileProperties</w:t>
            </w:r>
          </w:p>
        </w:tc>
        <w:tc>
          <w:tcPr>
            <w:tcW w:type="dxa" w:w="2000"/>
          </w:tcPr>
          <w:p>
            <w:r>
              <w:rPr>
                <w:b w:val="false"/>
                <w:bCs w:val="false"/>
              </w:rPr>
              <w:t xml:space="preserve">nvarchar(max)</w:t>
            </w:r>
          </w:p>
        </w:tc>
        <w:tc>
          <w:tcPr>
            <w:tcW w:type="dxa" w:w="5350"/>
          </w:tcPr>
          <w:p>
            <w:r>
              <w:rPr>
                <w:b w:val="false"/>
                <w:bCs w:val="false"/>
              </w:rPr>
              <w:t xml:space="preserve">JSON crop/section params; null for originals; enables re-crop from previous position</w:t>
            </w:r>
          </w:p>
        </w:tc>
      </w:tr>
      <w:tr>
        <w:tc>
          <w:tcPr>
            <w:tcW w:type="dxa" w:w="2000"/>
          </w:tcPr>
          <w:p>
            <w:r>
              <w:rPr>
                <w:rFonts w:ascii="Consolas" w:cs="Consolas" w:eastAsia="Consolas" w:hAnsi="Consolas"/>
                <w:b w:val="false"/>
                <w:bCs w:val="false"/>
                <w:sz w:val="20"/>
                <w:szCs w:val="20"/>
              </w:rPr>
              <w:t xml:space="preserve">iInsertedUserId</w:t>
            </w:r>
          </w:p>
        </w:tc>
        <w:tc>
          <w:tcPr>
            <w:tcW w:type="dxa" w:w="2000"/>
          </w:tcPr>
          <w:p>
            <w:r>
              <w:rPr>
                <w:b w:val="false"/>
                <w:bCs w:val="false"/>
              </w:rPr>
              <w:t xml:space="preserve">int</w:t>
            </w:r>
          </w:p>
        </w:tc>
        <w:tc>
          <w:tcPr>
            <w:tcW w:type="dxa" w:w="5350"/>
          </w:tcPr>
          <w:p>
            <w:r>
              <w:rPr>
                <w:b w:val="false"/>
                <w:bCs w:val="false"/>
              </w:rPr>
              <w:t xml:space="preserve">audit</w:t>
            </w:r>
          </w:p>
        </w:tc>
      </w:tr>
      <w:tr>
        <w:tc>
          <w:tcPr>
            <w:tcW w:type="dxa" w:w="2000"/>
          </w:tcPr>
          <w:p>
            <w:r>
              <w:rPr>
                <w:rFonts w:ascii="Consolas" w:cs="Consolas" w:eastAsia="Consolas" w:hAnsi="Consolas"/>
                <w:b w:val="false"/>
                <w:bCs w:val="false"/>
                <w:sz w:val="20"/>
                <w:szCs w:val="20"/>
              </w:rPr>
              <w:t xml:space="preserve">dtInsertedTime</w:t>
            </w:r>
          </w:p>
        </w:tc>
        <w:tc>
          <w:tcPr>
            <w:tcW w:type="dxa" w:w="2000"/>
          </w:tcPr>
          <w:p>
            <w:r>
              <w:rPr>
                <w:b w:val="false"/>
                <w:bCs w:val="false"/>
              </w:rPr>
              <w:t xml:space="preserve">datetime2(3)</w:t>
            </w:r>
          </w:p>
        </w:tc>
        <w:tc>
          <w:tcPr>
            <w:tcW w:type="dxa" w:w="5350"/>
          </w:tcPr>
          <w:p>
            <w:r>
              <w:rPr>
                <w:b w:val="false"/>
                <w:bCs w:val="false"/>
              </w:rPr>
              <w:t xml:space="preserve">audit</w:t>
            </w:r>
          </w:p>
        </w:tc>
      </w:tr>
      <w:tr>
        <w:tc>
          <w:tcPr>
            <w:tcW w:type="dxa" w:w="2000"/>
          </w:tcPr>
          <w:p>
            <w:r>
              <w:rPr>
                <w:rFonts w:ascii="Consolas" w:cs="Consolas" w:eastAsia="Consolas" w:hAnsi="Consolas"/>
                <w:b w:val="false"/>
                <w:bCs w:val="false"/>
                <w:sz w:val="20"/>
                <w:szCs w:val="20"/>
              </w:rPr>
              <w:t xml:space="preserve">iUpdatedUserId</w:t>
            </w:r>
          </w:p>
        </w:tc>
        <w:tc>
          <w:tcPr>
            <w:tcW w:type="dxa" w:w="2000"/>
          </w:tcPr>
          <w:p>
            <w:r>
              <w:rPr>
                <w:b w:val="false"/>
                <w:bCs w:val="false"/>
              </w:rPr>
              <w:t xml:space="preserve">int</w:t>
            </w:r>
          </w:p>
        </w:tc>
        <w:tc>
          <w:tcPr>
            <w:tcW w:type="dxa" w:w="5350"/>
          </w:tcPr>
          <w:p>
            <w:r>
              <w:rPr>
                <w:b w:val="false"/>
                <w:bCs w:val="false"/>
              </w:rPr>
              <w:t xml:space="preserve">audit; null</w:t>
            </w:r>
          </w:p>
        </w:tc>
      </w:tr>
      <w:tr>
        <w:tc>
          <w:tcPr>
            <w:tcW w:type="dxa" w:w="2000"/>
          </w:tcPr>
          <w:p>
            <w:r>
              <w:rPr>
                <w:rFonts w:ascii="Consolas" w:cs="Consolas" w:eastAsia="Consolas" w:hAnsi="Consolas"/>
                <w:b w:val="false"/>
                <w:bCs w:val="false"/>
                <w:sz w:val="20"/>
                <w:szCs w:val="20"/>
              </w:rPr>
              <w:t xml:space="preserve">dtUpdatedTime</w:t>
            </w:r>
          </w:p>
        </w:tc>
        <w:tc>
          <w:tcPr>
            <w:tcW w:type="dxa" w:w="2000"/>
          </w:tcPr>
          <w:p>
            <w:r>
              <w:rPr>
                <w:b w:val="false"/>
                <w:bCs w:val="false"/>
              </w:rPr>
              <w:t xml:space="preserve">datetime2(3)</w:t>
            </w:r>
          </w:p>
        </w:tc>
        <w:tc>
          <w:tcPr>
            <w:tcW w:type="dxa" w:w="5350"/>
          </w:tcPr>
          <w:p>
            <w:r>
              <w:rPr>
                <w:b w:val="false"/>
                <w:bCs w:val="false"/>
              </w:rPr>
              <w:t xml:space="preserve">audit; null</w:t>
            </w:r>
          </w:p>
        </w:tc>
      </w:tr>
    </w:tbl>
    <w:p>
      <w:pPr>
        <w:spacing w:after="140"/>
      </w:pPr>
      <w:r>
        <w:t xml:space="preserve">Database: [docproc].[PDFFileContents] (binary, 1:1 shared PK)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650"/>
        <w:gridCol w:w="4050"/>
      </w:tblGrid>
      <w:tr>
        <w:tc>
          <w:tcPr>
            <w:tcW w:type="dxa" w:w="2650"/>
            <w:shd w:fill="E7E6E6" w:val="clear"/>
          </w:tcPr>
          <w:p>
            <w:r>
              <w:rPr>
                <w:b/>
                <w:bCs/>
              </w:rPr>
              <w:t xml:space="preserve">Column</w:t>
            </w:r>
          </w:p>
        </w:tc>
        <w:tc>
          <w:tcPr>
            <w:tcW w:type="dxa" w:w="2650"/>
            <w:shd w:fill="E7E6E6" w:val="clear"/>
          </w:tcPr>
          <w:p>
            <w:r>
              <w:rPr>
                <w:b/>
                <w:bCs/>
              </w:rPr>
              <w:t xml:space="preserve">Type</w:t>
            </w:r>
          </w:p>
        </w:tc>
        <w:tc>
          <w:tcPr>
            <w:tcW w:type="dxa" w:w="4050"/>
            <w:shd w:fill="E7E6E6" w:val="clear"/>
          </w:tcPr>
          <w:p>
            <w:r>
              <w:rPr>
                <w:b/>
                <w:bCs/>
              </w:rPr>
              <w:t xml:space="preserve">Notes</w:t>
            </w:r>
          </w:p>
        </w:tc>
      </w:tr>
      <w:tr>
        <w:tc>
          <w:tcPr>
            <w:tcW w:type="dxa" w:w="2650"/>
          </w:tcPr>
          <w:p>
            <w:r>
              <w:rPr>
                <w:rFonts w:ascii="Consolas" w:cs="Consolas" w:eastAsia="Consolas" w:hAnsi="Consolas"/>
                <w:b w:val="false"/>
                <w:bCs w:val="false"/>
                <w:sz w:val="20"/>
                <w:szCs w:val="20"/>
              </w:rPr>
              <w:t xml:space="preserve">PdfFileId</w:t>
            </w:r>
          </w:p>
        </w:tc>
        <w:tc>
          <w:tcPr>
            <w:tcW w:type="dxa" w:w="2650"/>
          </w:tcPr>
          <w:p>
            <w:r>
              <w:rPr>
                <w:b w:val="false"/>
                <w:bCs w:val="false"/>
              </w:rPr>
              <w:t xml:space="preserve">uniqueidentifier</w:t>
            </w:r>
          </w:p>
        </w:tc>
        <w:tc>
          <w:tcPr>
            <w:tcW w:type="dxa" w:w="4050"/>
          </w:tcPr>
          <w:p>
            <w:r>
              <w:rPr>
                <w:b w:val="false"/>
                <w:bCs w:val="false"/>
              </w:rPr>
              <w:t xml:space="preserve">PK + FK to PDFFiles.Id (1:1 shared PK, cascade delete)</w:t>
            </w:r>
          </w:p>
        </w:tc>
      </w:tr>
      <w:tr>
        <w:tc>
          <w:tcPr>
            <w:tcW w:type="dxa" w:w="2650"/>
          </w:tcPr>
          <w:p>
            <w:r>
              <w:rPr>
                <w:rFonts w:ascii="Consolas" w:cs="Consolas" w:eastAsia="Consolas" w:hAnsi="Consolas"/>
                <w:b w:val="false"/>
                <w:bCs w:val="false"/>
                <w:sz w:val="20"/>
                <w:szCs w:val="20"/>
              </w:rPr>
              <w:t xml:space="preserve">binContent</w:t>
            </w:r>
          </w:p>
        </w:tc>
        <w:tc>
          <w:tcPr>
            <w:tcW w:type="dxa" w:w="2650"/>
          </w:tcPr>
          <w:p>
            <w:r>
              <w:rPr>
                <w:b w:val="false"/>
                <w:bCs w:val="false"/>
              </w:rPr>
              <w:t xml:space="preserve">varbinary(max)</w:t>
            </w:r>
          </w:p>
        </w:tc>
        <w:tc>
          <w:tcPr>
            <w:tcW w:type="dxa" w:w="4050"/>
          </w:tcPr>
          <w:p>
            <w:r>
              <w:rPr>
                <w:b w:val="false"/>
                <w:bCs w:val="false"/>
              </w:rPr>
              <w:t xml:space="preserve">the PDF bytes</w:t>
            </w:r>
          </w:p>
        </w:tc>
      </w:tr>
      <w:tr>
        <w:tc>
          <w:tcPr>
            <w:tcW w:type="dxa" w:w="2650"/>
          </w:tcPr>
          <w:p>
            <w:r>
              <w:rPr>
                <w:rFonts w:ascii="Consolas" w:cs="Consolas" w:eastAsia="Consolas" w:hAnsi="Consolas"/>
                <w:b w:val="false"/>
                <w:bCs w:val="false"/>
                <w:sz w:val="20"/>
                <w:szCs w:val="20"/>
              </w:rPr>
              <w:t xml:space="preserve">audit columns</w:t>
            </w:r>
          </w:p>
        </w:tc>
        <w:tc>
          <w:tcPr>
            <w:tcW w:type="dxa" w:w="2650"/>
          </w:tcPr>
          <w:p>
            <w:r>
              <w:rPr>
                <w:b w:val="false"/>
                <w:bCs w:val="false"/>
              </w:rPr>
              <w:t xml:space="preserve">int / datetime2(3)</w:t>
            </w:r>
          </w:p>
        </w:tc>
        <w:tc>
          <w:tcPr>
            <w:tcW w:type="dxa" w:w="4050"/>
          </w:tcPr>
          <w:p>
            <w:r>
              <w:rPr>
                <w:b w:val="false"/>
                <w:bCs w:val="false"/>
              </w:rPr>
              <w:t xml:space="preserve">iInsertedUserId, dtInsertedTime, iUpdatedUserId (null), dtUpdatedTime (null)</w:t>
            </w:r>
          </w:p>
        </w:tc>
      </w:tr>
    </w:tbl>
    <w:p>
      <w:pPr>
        <w:spacing w:after="140"/>
      </w:pPr>
      <w:r>
        <w:t xml:space="preserve">Metadata and binary are split into two tables so listing/queries never load the blob.</w:t>
      </w:r>
    </w:p>
    <w:p>
      <w:pPr>
        <w:spacing w:after="140"/>
      </w:pPr>
      <w:r>
        <w:t xml:space="preserve">Note: upload, crop, list, detail, and content are implemented and now require an authenticated caller (OrangepuffPortal.Host cookie auth scheme, see section 4.6) -- the Split/Section workflow is planned.</w:t>
      </w:r>
    </w:p>
    <w:p>
      <w:pPr>
        <w:pStyle w:val="Heading2"/>
        <w:spacing w:after="120" w:before="260"/>
      </w:pPr>
      <w:r>
        <w:t xml:space="preserve">4.5 OCRWeb.ProjectManagement - Planned</w:t>
      </w:r>
    </w:p>
    <w:p>
      <w:pPr>
        <w:spacing w:after="140"/>
      </w:pPr>
      <w:r>
        <w:t xml:space="preserve">Responsibility: project lifecycle (create / open / archive), naming policy, duplicate handling, metadata lifecycle.</w:t>
      </w:r>
    </w:p>
    <w:p>
      <w:pPr>
        <w:spacing w:after="140"/>
      </w:pPr>
      <w:r>
        <w:t xml:space="preserve">Database (planned): [project].[Projects] with normalized project key, display name, status, and timestamps.</w:t>
      </w:r>
    </w:p>
    <w:p>
      <w:pPr>
        <w:spacing w:after="140"/>
      </w:pPr>
      <w:r>
        <w:t xml:space="preserve">Class library scaffolded; domain/DbContext not yet implemented. Create-project-from-PDF will orchestrate with DocumentProcessing.</w:t>
      </w:r>
    </w:p>
    <w:p>
      <w:pPr>
        <w:pStyle w:val="Heading2"/>
        <w:spacing w:after="120" w:before="260"/>
      </w:pPr>
      <w:r>
        <w:t xml:space="preserve">4.6 OCRWeb.API - Partial Implemented</w:t>
      </w:r>
    </w:p>
    <w:p>
      <w:pPr>
        <w:spacing w:after="140"/>
      </w:pPr>
      <w:r>
        <w:t xml:space="preserve">Responsibility: web host and composition root. FastEndpoints receive HTTP and delegate to MediatR. Runs EF migrations and admin seeding on startup gated by the DoMigration flag, via OrangepuffPortal.Host's MigratePortalModulesAsync() for Identity plus a manual DocumentDbContext migrate call. Identity, cookie/Google-OAuth auth, and the /bff/* routes are wired in via AddOrangepuffPortal()/MapOrangepuffPortal() from the OrangepuffPortal.Host package; ICurrentUser/CurrentUser also come from that package now, not a local stub or JWT-bearer-validated claim.</w:t>
      </w:r>
    </w:p>
    <w:p>
      <w:pPr>
        <w:spacing w:after="140"/>
      </w:pPr>
      <w:r>
        <w:t xml:space="preserve">Endpoints: POST /pdf-files (upload), POST /pdf-files/{id}/crop, GET /pdf-files?projectId= (list), GET /pdf-files/{id} (detail), GET /pdf-files/{id}/content (stream) -- all now require the OrangepuffPortal.Host cookie auth scheme, not the old internal JWT bearer scheme. Also serves GET/POST /bff/login, /bff/logout, /bff/me, /bff/me/permissions, /bff/me/avatar, and the AdminOnly-gated /bff/admin/* group (users, security-rule-categories, security-rule-items) directly -- the old /internal/identity/* endpoints that only OCRWeb.Bff called are gone, since there is no more separate Bff process to call them.</w:t>
      </w:r>
    </w:p>
    <w:p>
      <w:pPr>
        <w:spacing w:after="140"/>
      </w:pPr>
      <w:r>
        <w:t xml:space="preserve">Database: none of its own (orchestrates module contexts).</w:t>
      </w:r>
    </w:p>
    <w:p>
      <w:pPr>
        <w:pStyle w:val="Heading2"/>
        <w:spacing w:after="120" w:before="260"/>
      </w:pPr>
      <w:r>
        <w:t xml:space="preserve">4.7 OCRWeb.Bff - Removed</w:t>
      </w:r>
    </w:p>
    <w:p>
      <w:pPr>
        <w:spacing w:after="140"/>
      </w:pPr>
      <w:r>
        <w:t xml:space="preserve">Removed: folded into OCRWeb.API as a single process. Cookie + Google OAuth auth now comes from the OrangepuffPortal.Host package (AddOrangepuffPortal()/MapOrangepuffPortal() in OCRWeb.API's Program.cs) instead of a separate Bff process talking to the API over an internal RS256 JWT 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50"/>
      </w:tblGrid>
      <w:tr>
        <w:tc>
          <w:tcPr>
            <w:tcW w:type="dxa" w:w="1400"/>
            <w:shd w:fill="E7E6E6" w:val="clear"/>
          </w:tcPr>
          <w:p>
            <w:r>
              <w:rPr>
                <w:b/>
                <w:bCs/>
              </w:rPr>
              <w:t xml:space="preserve">Method</w:t>
            </w:r>
          </w:p>
        </w:tc>
        <w:tc>
          <w:tcPr>
            <w:tcW w:type="dxa" w:w="2800"/>
            <w:shd w:fill="E7E6E6" w:val="clear"/>
          </w:tcPr>
          <w:p>
            <w:r>
              <w:rPr>
                <w:b/>
                <w:bCs/>
              </w:rPr>
              <w:t xml:space="preserve">Path</w:t>
            </w:r>
          </w:p>
        </w:tc>
        <w:tc>
          <w:tcPr>
            <w:tcW w:type="dxa" w:w="5150"/>
            <w:shd w:fill="E7E6E6" w:val="clear"/>
          </w:tcPr>
          <w:p>
            <w:r>
              <w:rPr>
                <w:b/>
                <w:bCs/>
              </w:rPr>
              <w:t xml:space="preserve">Purpose</w:t>
            </w:r>
          </w:p>
        </w:tc>
      </w:tr>
      <w:tr>
        <w:tc>
          <w:tcPr>
            <w:tcW w:type="dxa" w:w="1400"/>
          </w:tcPr>
          <w:p>
            <w:r>
              <w:rPr>
                <w:b w:val="false"/>
                <w:bCs w:val="false"/>
              </w:rPr>
              <w:t xml:space="preserve">GET</w:t>
            </w:r>
          </w:p>
        </w:tc>
        <w:tc>
          <w:tcPr>
            <w:tcW w:type="dxa" w:w="2800"/>
          </w:tcPr>
          <w:p>
            <w:r>
              <w:rPr>
                <w:rFonts w:ascii="Consolas" w:cs="Consolas" w:eastAsia="Consolas" w:hAnsi="Consolas"/>
                <w:b w:val="false"/>
                <w:bCs w:val="false"/>
                <w:sz w:val="20"/>
                <w:szCs w:val="20"/>
              </w:rPr>
              <w:t xml:space="preserve">/bff/login?returnUrl=</w:t>
            </w:r>
          </w:p>
        </w:tc>
        <w:tc>
          <w:tcPr>
            <w:tcW w:type="dxa" w:w="5150"/>
          </w:tcPr>
          <w:p>
            <w:r>
              <w:rPr>
                <w:b w:val="false"/>
                <w:bCs w:val="false"/>
              </w:rPr>
              <w:t xml:space="preserve">Starts the Google OAuth challenge</w:t>
            </w:r>
          </w:p>
        </w:tc>
      </w:tr>
      <w:tr>
        <w:tc>
          <w:tcPr>
            <w:tcW w:type="dxa" w:w="1400"/>
          </w:tcPr>
          <w:p>
            <w:r>
              <w:rPr>
                <w:b w:val="false"/>
                <w:bCs w:val="false"/>
              </w:rPr>
              <w:t xml:space="preserve">GET</w:t>
            </w:r>
          </w:p>
        </w:tc>
        <w:tc>
          <w:tcPr>
            <w:tcW w:type="dxa" w:w="2800"/>
          </w:tcPr>
          <w:p>
            <w:r>
              <w:rPr>
                <w:rFonts w:ascii="Consolas" w:cs="Consolas" w:eastAsia="Consolas" w:hAnsi="Consolas"/>
                <w:b w:val="false"/>
                <w:bCs w:val="false"/>
                <w:sz w:val="20"/>
                <w:szCs w:val="20"/>
              </w:rPr>
              <w:t xml:space="preserve">/signin-google</w:t>
            </w:r>
          </w:p>
        </w:tc>
        <w:tc>
          <w:tcPr>
            <w:tcW w:type="dxa" w:w="5150"/>
          </w:tcPr>
          <w:p>
            <w:r>
              <w:rPr>
                <w:b w:val="false"/>
                <w:bCs w:val="false"/>
              </w:rPr>
              <w:t xml:space="preserve">Google's OAuth callback (fixed path); provisions/links the local user via an internal call to OCRWeb.API</w:t>
            </w:r>
          </w:p>
        </w:tc>
      </w:tr>
      <w:tr>
        <w:tc>
          <w:tcPr>
            <w:tcW w:type="dxa" w:w="1400"/>
          </w:tcPr>
          <w:p>
            <w:r>
              <w:rPr>
                <w:b w:val="false"/>
                <w:bCs w:val="false"/>
              </w:rPr>
              <w:t xml:space="preserve">POST</w:t>
            </w:r>
          </w:p>
        </w:tc>
        <w:tc>
          <w:tcPr>
            <w:tcW w:type="dxa" w:w="2800"/>
          </w:tcPr>
          <w:p>
            <w:r>
              <w:rPr>
                <w:rFonts w:ascii="Consolas" w:cs="Consolas" w:eastAsia="Consolas" w:hAnsi="Consolas"/>
                <w:b w:val="false"/>
                <w:bCs w:val="false"/>
                <w:sz w:val="20"/>
                <w:szCs w:val="20"/>
              </w:rPr>
              <w:t xml:space="preserve">/bff/logout</w:t>
            </w:r>
          </w:p>
        </w:tc>
        <w:tc>
          <w:tcPr>
            <w:tcW w:type="dxa" w:w="5150"/>
          </w:tcPr>
          <w:p>
            <w:r>
              <w:rPr>
                <w:b w:val="false"/>
                <w:bCs w:val="false"/>
              </w:rPr>
              <w:t xml:space="preserve">Clears the session cookie</w:t>
            </w:r>
          </w:p>
        </w:tc>
      </w:tr>
      <w:tr>
        <w:tc>
          <w:tcPr>
            <w:tcW w:type="dxa" w:w="1400"/>
          </w:tcPr>
          <w:p>
            <w:r>
              <w:rPr>
                <w:b w:val="false"/>
                <w:bCs w:val="false"/>
              </w:rPr>
              <w:t xml:space="preserve">GET</w:t>
            </w:r>
          </w:p>
        </w:tc>
        <w:tc>
          <w:tcPr>
            <w:tcW w:type="dxa" w:w="2800"/>
          </w:tcPr>
          <w:p>
            <w:r>
              <w:rPr>
                <w:rFonts w:ascii="Consolas" w:cs="Consolas" w:eastAsia="Consolas" w:hAnsi="Consolas"/>
                <w:b w:val="false"/>
                <w:bCs w:val="false"/>
                <w:sz w:val="20"/>
                <w:szCs w:val="20"/>
              </w:rPr>
              <w:t xml:space="preserve">/bff/me</w:t>
            </w:r>
          </w:p>
        </w:tc>
        <w:tc>
          <w:tcPr>
            <w:tcW w:type="dxa" w:w="5150"/>
          </w:tcPr>
          <w:p>
            <w:r>
              <w:rPr>
                <w:b w:val="false"/>
                <w:bCs w:val="false"/>
              </w:rPr>
              <w:t xml:space="preserve">Current session info for the Angular header/route guard</w:t>
            </w:r>
          </w:p>
        </w:tc>
      </w:tr>
    </w:tbl>
    <w:p>
      <w:pPr>
        <w:pStyle w:val="Heading2"/>
        <w:spacing w:after="120" w:before="260"/>
      </w:pPr>
      <w:r>
        <w:t xml:space="preserve">4.8 OCRWeb.Frontend - Partial Implemented</w:t>
      </w:r>
    </w:p>
    <w:p>
      <w:pPr>
        <w:spacing w:after="140"/>
      </w:pPr>
      <w:r>
        <w:t xml:space="preserve">Responsibility: Angular 22 application - a thin shell (header, session, admin UI) plus a body-content area that embeds a per-deployment Angular body app (e.g. a future OCR web) via a same-origin iframe. Talks only to the BFF. The shell itself (PortalShell component, routes, header, session, admin UI) is bootstrapped from the @orangepuff/portal-frontend npm package rather than built locally -- OCRWeb.Frontend's own code is now just package.json/angular.json wiring plus src/main.ts (bootstrapApplication(PortalShell, appConfig)) and src/app/app.config.ts (providePortalShell({ appName: 'OCRWeb', bffOrigin }), PORTAL_SHELL_ROUTES).</w:t>
      </w:r>
    </w:p>
    <w:p>
      <w:pPr>
        <w:spacing w:after="140"/>
      </w:pPr>
      <w:r>
        <w:t xml:space="preserve">Session flow: Google sign-in with a persistent cookie (ASP.NET Core Data Protection keys mounted to a Docker volume so it survives container restarts), AuthService/IdentityService (session state via /bff/me and /bff/me/permissions), authGuard (login required) and adminGuard (IsAdmin required, redirects a non-admin to /home) route guards -- all now exported by @orangepuff/portal-frontend rather than living under OCRWeb.Frontend/src/app. Header (built on @orangepuff/portal-frontend-shared's Avatar and IdentityService) shows a dark app bar with a "Hello, {name}" dropdown: Settings (self-service avatar upload) for everyone, Manage Users / Manage Rules / Manage Themes (placeholder) for admins. Admin CRUD screens exist for Users, SecurityRuleCategories, and SecurityRuleItems (list, add/edit dialog, ConfirmDialog delete confirmation). /home is the post-login landing route; it no longer plans its own upload/project-list/workspace screens - those are expected to live in a separate embedded body app (see below), not in this shell. Body-content area: /home renders a same-origin iframe whose src is PortalShellConfig.bodyAppUrl, passed to providePortalShell() in src/app/app.config.ts (build-time - the URL is expected to change rarely, e.g. once per project setup, so a rebuild-to-change tradeoff was accepted over a runtime config file). OCRWeb.Frontend does not set bodyAppUrl yet, so Home renders the package's placeholder message; no OCR web body app exists yet. The iframe fills the full viewport below the fixed header with no gap; the shell contributes only the header bar, per the approved design. Known issue: the published @orangepuff/portal-frontend@1.0.2 package.json still pins its @orangepuff/portal-frontend-shared peerDependency to the stale pre-release range ^0.0.1 instead of ^1.0.2 (an upstream packaging bug in the orangepuffportal repo's publish step); OCRWeb.Frontend/package.json works around it with an npm "overrides" entry pinning the nested peer to the root @orangepuff/portal-frontend-shared version, to be dropped once upstream is fixed and republished.</w:t>
      </w:r>
    </w:p>
    <w:p>
      <w:pPr>
        <w:pStyle w:val="Heading2"/>
        <w:spacing w:after="120" w:before="260"/>
      </w:pPr>
      <w:r>
        <w:t xml:space="preserve">4.9 OCRWeb.Frontend.Shared - Removed</w:t>
      </w:r>
    </w:p>
    <w:p>
      <w:pPr>
        <w:spacing w:after="140"/>
      </w:pPr>
      <w:r>
        <w:t xml:space="preserve">Removed: superseded by the @orangepuff/portal-frontend-shared npm package (published from the sibling orangepuffportal repo, itself originally extracted from this project's local Angular library workspace), same pattern as OCRWeb.Shared/OCRWeb.Identity being superseded by the OrangepuffPortal.* NuGet packages on the backend. It still supplies the same reusable pieces this project's library used to (IdentityService, Avatar, ConfirmDialog, the shared Material 3 theme.scss mixin), now consumed by OCRWeb.Frontend as a versioned npm dependency instead of a locally built-and-tarball-packed library. CropPdf and other body-app-specific primitives remain out of scope until a body app needs them.</w:t>
      </w:r>
    </w:p>
    <w:p>
      <w:pPr>
        <w:pStyle w:val="Heading2"/>
        <w:spacing w:after="120" w:before="260"/>
      </w:pPr>
      <w:r>
        <w:t xml:space="preserve">4.10 Diagnostics.* (external NuGet package - DiagnosticLog repo) - Implemented</w:t>
      </w:r>
    </w:p>
    <w:p>
      <w:pPr>
        <w:spacing w:after="140"/>
      </w:pPr>
      <w:r>
        <w:t xml:space="preserve">Responsibility: reusable, product-neutral observability library (root namespace Diagnostics.*, zero dependency on OCRWeb.*) built on NLog, per the design doc now living in the separate DiagnosticLog repo. Not a bounded context - a shared technical concern like OCRWeb.Pdf, but reusable across solutions; originally developed in-repo under src/Shared, now extracted into its own repo (DiagnosticLog) and consumed by OCRWeb as a NuGet package.</w:t>
      </w:r>
    </w:p>
    <w:p>
      <w:pPr>
        <w:spacing w:after="140"/>
      </w:pPr>
      <w:r>
        <w:t xml:space="preserve">Projects: Diagnostics.Abstractions (ports - ICorrelationContext/CorrelationContext, ITransactionLogger, ITransactionScope, TransactionRecord, DiagnosticsOptions; no NLog/EF/ASP.NET dependency); Diagnostics.NLog (DbConfigProvider reads NLog rules from the DB via Dapper, EnvironmentCategoryResolver, LogsTarget and TransactionsTarget custom targets that batch to SqlBulkCopy, AddDiagnostics DI extension); Diagnostics.AspNetCore (CorrelationIdMiddleware, TransactionMiddleware, CorrelationIdDelegatingHandler, UseDiagnostics - optional per consumer).</w:t>
      </w:r>
    </w:p>
    <w:p>
      <w:pPr>
        <w:spacing w:after="140"/>
      </w:pPr>
      <w:r>
        <w:t xml:space="preserve">Database: separate DiagnosticLogs database (own connection string, so logging load never contends with OCRWeb) with Environments, Configurations, Categories, Logs, and Transactions tables - see diagnostics-logs-schema.sql in the DiagnosticLog repo (no longer in this repo's docs/).</w:t>
      </w:r>
    </w:p>
    <w:p>
      <w:pPr>
        <w:spacing w:after="140"/>
      </w:pPr>
      <w:r>
        <w:t xml:space="preserve">Wired into OCRWeb.API: AddDiagnostics/AddDiagnosticsAspNetCore in Program.cs, app.UseDiagnostics() in the pipeline, ConnectionStrings:DiagnosticLogs and a Diagnostics:LoggerName/EnvironmentName section in appsettings. ICorrelationContext now also tracks the current user (CurrentUser/SetUser), so line logs written inside a transaction scope inherit sUser automatically, not just sTransactionId/iCategoryId/sCorrelationId. Implementation note: DbConfigProvider parses only the DB XML's &lt;rules&gt; section (minlevel per logger name); the two custom targets are constructed in code with injected dependencies rather than from XML &lt;targets&gt;.</w:t>
      </w:r>
    </w:p>
    <w:p>
      <w:pPr>
        <w:spacing w:after="140"/>
      </w:pPr>
      <w:r>
        <w:t xml:space="preserve">Now referenced via NuGet PackageReference rather than ProjectReference, published to nuget.org for real at version 1.0.1. PackageIds are Orangepuff.Diagnostics.Abstractions/.NLog/.AspNetCore (GitHub-username-prefixed) rather than plain Diagnostics.* - nuget.org rejected the unprefixed names as a reserved ID prefix owned by someone else, even though nothing is published under it; C# namespaces/assembly names are unaffected. DiagnosticLog publishes new versions via a GitHub Actions workflow using NuGet Trusted Publishing (OIDC, no stored API key): pushing a Release/vX.Y.Z branch packs and publishes that version automatically.</w:t>
      </w:r>
    </w:p>
    <w:p>
      <w:pPr>
        <w:pStyle w:val="Heading1"/>
        <w:spacing w:after="160" w:before="340"/>
      </w:pPr>
      <w:r>
        <w:t xml:space="preserve">5. Database and Migrations</w:t>
      </w:r>
    </w:p>
    <w:p>
      <w:pPr>
        <w:spacing w:after="140"/>
      </w:pPr>
      <w:r>
        <w:t xml:space="preserve">A single SQL Server database (OCRWeb) is assumed to already exist; the application does not create it. Each bounded context owns a schema and a DbContext with its own migrations history table (identity, docproc, and later project).</w:t>
      </w:r>
    </w:p>
    <w:p>
      <w:pPr>
        <w:spacing w:after="140"/>
      </w:pPr>
      <w:r>
        <w:t xml:space="preserve">Create the database once, if it does not exist:</w:t>
      </w:r>
    </w:p>
    <w:p>
      <w:pPr>
        <w:shd w:fill="F2F2F2" w:val="clear"/>
        <w:spacing w:after="140" w:before="60"/>
        <w:ind w:left="200"/>
      </w:pPr>
      <w:r>
        <w:rPr>
          <w:rFonts w:ascii="Consolas" w:cs="Consolas" w:eastAsia="Consolas" w:hAnsi="Consolas"/>
          <w:sz w:val="20"/>
          <w:szCs w:val="20"/>
        </w:rPr>
        <w:t xml:space="preserve">IF DB_ID('OCRWeb') IS NULL CREATE DATABASE [OCRWeb];</w:t>
      </w:r>
    </w:p>
    <w:p>
      <w:pPr>
        <w:spacing w:after="140"/>
      </w:pPr>
      <w:r>
        <w:t xml:space="preserve">Migrations and admin seeding run on API startup only when the single flag DoMigration = true (it applies to all modules; renamed from bMigration â€” a bool config flag is not a DB column, so it should not carry a DB type prefix). EF migrations create schema and tables; they do not create the database.</w:t>
      </w:r>
    </w:p>
    <w:p>
      <w:pPr>
        <w:pStyle w:val="Heading2"/>
        <w:spacing w:after="120" w:before="260"/>
      </w:pPr>
      <w:r>
        <w:t xml:space="preserve">Column naming (type prefix) convention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c>
          <w:tcPr>
            <w:tcW w:type="dxa" w:w="2000"/>
            <w:shd w:fill="E7E6E6" w:val="clear"/>
          </w:tcPr>
          <w:p>
            <w:r>
              <w:rPr>
                <w:b/>
                <w:bCs/>
              </w:rPr>
              <w:t xml:space="preserve">Prefix</w:t>
            </w:r>
          </w:p>
        </w:tc>
        <w:tc>
          <w:tcPr>
            <w:tcW w:type="dxa" w:w="7350"/>
            <w:shd w:fill="E7E6E6" w:val="clear"/>
          </w:tcPr>
          <w:p>
            <w:r>
              <w:rPr>
                <w:b/>
                <w:bCs/>
              </w:rPr>
              <w:t xml:space="preserve">Type</w:t>
            </w:r>
          </w:p>
        </w:tc>
      </w:tr>
      <w:tr>
        <w:tc>
          <w:tcPr>
            <w:tcW w:type="dxa" w:w="2000"/>
          </w:tcPr>
          <w:p>
            <w:r>
              <w:rPr>
                <w:rFonts w:ascii="Consolas" w:cs="Consolas" w:eastAsia="Consolas" w:hAnsi="Consolas"/>
                <w:b w:val="false"/>
                <w:bCs w:val="false"/>
                <w:sz w:val="20"/>
                <w:szCs w:val="20"/>
              </w:rPr>
              <w:t xml:space="preserve">i</w:t>
            </w:r>
          </w:p>
        </w:tc>
        <w:tc>
          <w:tcPr>
            <w:tcW w:type="dxa" w:w="7350"/>
          </w:tcPr>
          <w:p>
            <w:r>
              <w:rPr>
                <w:b w:val="false"/>
                <w:bCs w:val="false"/>
              </w:rPr>
              <w:t xml:space="preserve">int (including a table's own primary key, e.g. iId)</w:t>
            </w:r>
          </w:p>
        </w:tc>
      </w:tr>
      <w:tr>
        <w:tc>
          <w:tcPr>
            <w:tcW w:type="dxa" w:w="2000"/>
          </w:tcPr>
          <w:p>
            <w:r>
              <w:rPr>
                <w:rFonts w:ascii="Consolas" w:cs="Consolas" w:eastAsia="Consolas" w:hAnsi="Consolas"/>
                <w:b w:val="false"/>
                <w:bCs w:val="false"/>
                <w:sz w:val="20"/>
                <w:szCs w:val="20"/>
              </w:rPr>
              <w:t xml:space="preserve">bi</w:t>
            </w:r>
          </w:p>
        </w:tc>
        <w:tc>
          <w:tcPr>
            <w:tcW w:type="dxa" w:w="7350"/>
          </w:tcPr>
          <w:p>
            <w:r>
              <w:rPr>
                <w:b w:val="false"/>
                <w:bCs w:val="false"/>
              </w:rPr>
              <w:t xml:space="preserve">bigint</w:t>
            </w:r>
          </w:p>
        </w:tc>
      </w:tr>
      <w:tr>
        <w:tc>
          <w:tcPr>
            <w:tcW w:type="dxa" w:w="2000"/>
          </w:tcPr>
          <w:p>
            <w:r>
              <w:rPr>
                <w:rFonts w:ascii="Consolas" w:cs="Consolas" w:eastAsia="Consolas" w:hAnsi="Consolas"/>
                <w:b w:val="false"/>
                <w:bCs w:val="false"/>
                <w:sz w:val="20"/>
                <w:szCs w:val="20"/>
              </w:rPr>
              <w:t xml:space="preserve">s</w:t>
            </w:r>
          </w:p>
        </w:tc>
        <w:tc>
          <w:tcPr>
            <w:tcW w:type="dxa" w:w="7350"/>
          </w:tcPr>
          <w:p>
            <w:r>
              <w:rPr>
                <w:b w:val="false"/>
                <w:bCs w:val="false"/>
              </w:rPr>
              <w:t xml:space="preserve">nvarchar</w:t>
            </w:r>
          </w:p>
        </w:tc>
      </w:tr>
      <w:tr>
        <w:tc>
          <w:tcPr>
            <w:tcW w:type="dxa" w:w="2000"/>
          </w:tcPr>
          <w:p>
            <w:r>
              <w:rPr>
                <w:rFonts w:ascii="Consolas" w:cs="Consolas" w:eastAsia="Consolas" w:hAnsi="Consolas"/>
                <w:b w:val="false"/>
                <w:bCs w:val="false"/>
                <w:sz w:val="20"/>
                <w:szCs w:val="20"/>
              </w:rPr>
              <w:t xml:space="preserve">bt</w:t>
            </w:r>
          </w:p>
        </w:tc>
        <w:tc>
          <w:tcPr>
            <w:tcW w:type="dxa" w:w="7350"/>
          </w:tcPr>
          <w:p>
            <w:r>
              <w:rPr>
                <w:b w:val="false"/>
                <w:bCs w:val="false"/>
              </w:rPr>
              <w:t xml:space="preserve">bit</w:t>
            </w:r>
          </w:p>
        </w:tc>
      </w:tr>
      <w:tr>
        <w:tc>
          <w:tcPr>
            <w:tcW w:type="dxa" w:w="2000"/>
          </w:tcPr>
          <w:p>
            <w:r>
              <w:rPr>
                <w:rFonts w:ascii="Consolas" w:cs="Consolas" w:eastAsia="Consolas" w:hAnsi="Consolas"/>
                <w:b w:val="false"/>
                <w:bCs w:val="false"/>
                <w:sz w:val="20"/>
                <w:szCs w:val="20"/>
              </w:rPr>
              <w:t xml:space="preserve">bin</w:t>
            </w:r>
          </w:p>
        </w:tc>
        <w:tc>
          <w:tcPr>
            <w:tcW w:type="dxa" w:w="7350"/>
          </w:tcPr>
          <w:p>
            <w:r>
              <w:rPr>
                <w:b w:val="false"/>
                <w:bCs w:val="false"/>
              </w:rPr>
              <w:t xml:space="preserve">varbinary</w:t>
            </w:r>
          </w:p>
        </w:tc>
      </w:tr>
      <w:tr>
        <w:tc>
          <w:tcPr>
            <w:tcW w:type="dxa" w:w="2000"/>
          </w:tcPr>
          <w:p>
            <w:r>
              <w:rPr>
                <w:rFonts w:ascii="Consolas" w:cs="Consolas" w:eastAsia="Consolas" w:hAnsi="Consolas"/>
                <w:b w:val="false"/>
                <w:bCs w:val="false"/>
                <w:sz w:val="20"/>
                <w:szCs w:val="20"/>
              </w:rPr>
              <w:t xml:space="preserve">dt</w:t>
            </w:r>
          </w:p>
        </w:tc>
        <w:tc>
          <w:tcPr>
            <w:tcW w:type="dxa" w:w="7350"/>
          </w:tcPr>
          <w:p>
            <w:r>
              <w:rPr>
                <w:b w:val="false"/>
                <w:bCs w:val="false"/>
              </w:rPr>
              <w:t xml:space="preserve">datetime2</w:t>
            </w:r>
          </w:p>
        </w:tc>
      </w:tr>
      <w:tr>
        <w:tc>
          <w:tcPr>
            <w:tcW w:type="dxa" w:w="2000"/>
          </w:tcPr>
          <w:p>
            <w:r>
              <w:rPr>
                <w:rFonts w:ascii="Consolas" w:cs="Consolas" w:eastAsia="Consolas" w:hAnsi="Consolas"/>
                <w:b w:val="false"/>
                <w:bCs w:val="false"/>
                <w:sz w:val="20"/>
                <w:szCs w:val="20"/>
              </w:rPr>
              <w:t xml:space="preserve">(none)</w:t>
            </w:r>
          </w:p>
        </w:tc>
        <w:tc>
          <w:tcPr>
            <w:tcW w:type="dxa" w:w="7350"/>
          </w:tcPr>
          <w:p>
            <w:r>
              <w:rPr>
                <w:b w:val="false"/>
                <w:bCs w:val="false"/>
              </w:rPr>
              <w:t xml:space="preserve">uniqueidentifier</w:t>
            </w:r>
          </w:p>
        </w:tc>
      </w:tr>
    </w:tbl>
    <w:p>
      <w:pPr>
        <w:spacing w:after="140"/>
      </w:pPr>
      <w:r>
        <w:t xml:space="preserve">Audit: business tables carry iInsertedUserId/dtInsertedTime and nullable iUpdatedUserId/dtUpdatedTime, set in handlers. Users carries timestamps only (creation is a system concern, not an admin action) â€” same rationale extends to ExternalLogins.</w:t>
      </w:r>
    </w:p>
    <w:p>
      <w:pPr>
        <w:pStyle w:val="Heading1"/>
        <w:spacing w:after="160" w:before="340"/>
      </w:pPr>
      <w:r>
        <w:t xml:space="preserve">6. Testing</w:t>
      </w:r>
    </w:p>
    <w:p>
      <w:pPr>
        <w:spacing w:after="140"/>
      </w:pPr>
      <w:r>
        <w:t xml:space="preserve">xUnit + Moq unit tests cover domain rules (file creation, sanitation, crop) and command handlers, including the Google provisioning command handler and the ambient-user-context additions to Diagnostics.Abstractions. Integration tests for FastEndpoints contracts and Playwright E2E journeys are planned.</w:t>
      </w:r>
    </w:p>
    <w:p>
      <w:pPr>
        <w:pStyle w:val="Heading1"/>
        <w:spacing w:after="160" w:before="340"/>
      </w:pPr>
      <w:r>
        <w:t xml:space="preserve">7. Deployment</w:t>
      </w:r>
    </w:p>
    <w:p>
      <w:pPr>
        <w:spacing w:after="140"/>
      </w:pPr>
      <w:r>
        <w:t xml:space="preserve">Docker Compose is part of the solution (docker-compose.dcproj). It builds and runs the API image (single host, also serves /bff/*); SQL Server is expected to be an external, permanent instance (reachable from containers via host.docker.internal). The Angular frontend is guarded behind a compose profile until it is scaffolded.</w:t>
      </w:r>
    </w:p>
    <w:p>
      <w:pPr>
        <w:pStyle w:val="Heading1"/>
        <w:spacing w:after="160" w:before="340"/>
      </w:pPr>
      <w:r>
        <w:t xml:space="preserve">8. Use Cases</w:t>
      </w:r>
    </w:p>
    <w:p>
      <w:pPr>
        <w:spacing w:after="140"/>
      </w:pPr>
      <w:r>
        <w:t xml:space="preserve">Case 1 - New project from PDF: upload a PDF; the original is stored (DocumentProcessing), and project creation (ProjectManagement) will be orchestrated once that module lands.</w:t>
      </w:r>
    </w:p>
    <w:p>
      <w:pPr>
        <w:spacing w:after="140"/>
      </w:pPr>
      <w:r>
        <w:t xml:space="preserve">Case 2 - Open existing project: list a project's files and view detail; stream/download content; re-crop a derived file from its saved crop parameters.</w:t>
      </w:r>
    </w:p>
    <w:p>
      <w:pPr>
        <w:pStyle w:val="Heading1"/>
        <w:spacing w:after="160" w:before="340"/>
      </w:pPr>
      <w:r>
        <w:t xml:space="preserve">9. Risks and Next Steps</w:t>
      </w:r>
    </w:p>
    <w:p>
      <w:pPr>
        <w:pStyle w:val="ListParagraph"/>
        <w:numPr>
          <w:ilvl w:val="0"/>
          <w:numId w:val="2"/>
        </w:numPr>
        <w:spacing w:after="60"/>
      </w:pPr>
      <w:r>
        <w:t xml:space="preserve">Implement OCRWeb.ProjectManagement and the create-project-from-PDF orchestration (single transaction now; move to domain events / eventual consistency as it grows).</w:t>
      </w:r>
    </w:p>
    <w:p>
      <w:pPr>
        <w:pStyle w:val="ListParagraph"/>
        <w:numPr>
          <w:ilvl w:val="0"/>
          <w:numId w:val="2"/>
        </w:numPr>
        <w:spacing w:after="60"/>
      </w:pPr>
      <w:r>
        <w:t xml:space="preserve">Large PDF uploads may need streaming and size limits at the BFF/API layers.</w:t>
      </w:r>
    </w:p>
    <w:p>
      <w:pPr>
        <w:pStyle w:val="ListParagraph"/>
        <w:numPr>
          <w:ilvl w:val="0"/>
          <w:numId w:val="2"/>
        </w:numPr>
        <w:spacing w:after="60"/>
      </w:pPr>
      <w:r>
        <w:t xml:space="preserve">Confirm crop coordinate orientation between the frontend and PDF points.</w:t>
      </w:r>
    </w:p>
    <w:p>
      <w:pPr>
        <w:pStyle w:val="ListParagraph"/>
        <w:numPr>
          <w:ilvl w:val="0"/>
          <w:numId w:val="2"/>
        </w:numPr>
        <w:spacing w:after="60"/>
      </w:pPr>
      <w:r>
        <w:t xml:space="preserve">Build the remaining Angular screens (project list, new-project-from-PDF, workspace) â€” currently only the auth shell exists.</w:t>
      </w:r>
    </w:p>
    <w:p>
      <w:pPr>
        <w:pStyle w:val="ListParagraph"/>
        <w:numPr>
          <w:ilvl w:val="0"/>
          <w:numId w:val="2"/>
        </w:numPr>
        <w:spacing w:after="60"/>
      </w:pPr>
      <w:r>
        <w:t xml:space="preserve">Resolved: the Bff&lt;-&gt;API internal RS256 token no longer exists. OCRWeb.API and the former Bff collapsed into one process via the OrangepuffPortal.Host package, so there is no internal HTTP hop left to harden.</w:t>
      </w:r>
    </w:p>
    <w:p>
      <w:pPr>
        <w:pStyle w:val="ListParagraph"/>
        <w:numPr>
          <w:ilvl w:val="0"/>
          <w:numId w:val="2"/>
        </w:numPr>
        <w:spacing w:after="60"/>
      </w:pPr>
      <w:r>
        <w:t xml:space="preserve">A UseMockAuthorization dev/test bypass for OCRWeb.API was requested but deliberately deferred until real JWT auth existed â€” that auth now exists (Â§4.6), so this is unblocked and ready to pick up.</w:t>
      </w:r>
    </w:p>
    <w:p>
      <w:pPr>
        <w:pStyle w:val="ListParagraph"/>
        <w:numPr>
          <w:ilvl w:val="0"/>
          <w:numId w:val="2"/>
        </w:numPr>
        <w:spacing w:after="60"/>
      </w:pPr>
      <w:r>
        <w:t xml:space="preserve">OCR processing (page extraction, jobs, recognition, indexing) remains a future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f3bbd2e7c6fc20cc4262425eb26990081e836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2026-07-18T13:56:26.009Z</dcterms:created>
  <dcterms:modified xsi:type="dcterms:W3CDTF">2026-07-18T13:56:26.009Z</dcterms:modified>
</cp:coreProperties>
</file>

<file path=docProps/custom.xml><?xml version="1.0" encoding="utf-8"?>
<Properties xmlns="http://schemas.openxmlformats.org/officeDocument/2006/custom-properties" xmlns:vt="http://schemas.openxmlformats.org/officeDocument/2006/docPropsVTypes"/>
</file>