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OCRWeb Authentication — Google Sign-In Design</w:t>
      </w:r>
    </w:p>
    <w:p>
      <w:pPr>
        <w:spacing w:after="160"/>
      </w:pPr>
      <w:r>
        <w:rPr>
          <w:i/>
          <w:iCs/>
        </w:rPr>
        <w:t xml:space="preserve">Design and implementation record for the "Login with Google" feature. Covers the Google Cloud Console configuration and every architectural decision made before and during implementation. This document is the single source of truth for the Authentication feature under docs/Authentication/ — updated as implementation landed, not just at design time.</w:t>
      </w:r>
    </w:p>
    <w:p>
      <w:pPr>
        <w:pStyle w:val="Heading1"/>
        <w:spacing w:after="160" w:before="320"/>
      </w:pPr>
      <w:r>
        <w:t xml:space="preserve">1. Purpose</w:t>
      </w:r>
    </w:p>
    <w:p>
      <w:pPr>
        <w:spacing w:after="160"/>
      </w:pPr>
      <w:r>
        <w:t xml:space="preserve">OCRWeb.Bff is the application's authentication boundary: Angular talks only to the Bff, never directly to OCRWeb.API. To let users sign in with a Google account, the Bff registers as an OAuth 2.0 client with Google and performs the Authorization Code flow itself (the "BFF pattern") — Angular never receives or handles a Google token directly. The Bff issues its own session cookie to the browser after a successful sign-in.</w:t>
      </w:r>
    </w:p>
    <w:p>
      <w:pPr>
        <w:pStyle w:val="Heading1"/>
        <w:spacing w:after="160" w:before="320"/>
      </w:pPr>
      <w:r>
        <w:t xml:space="preserve">2. Scope</w:t>
      </w:r>
    </w:p>
    <w:p>
      <w:pPr>
        <w:pStyle w:val="ListParagraph"/>
        <w:numPr>
          <w:ilvl w:val="0"/>
          <w:numId w:val="2"/>
        </w:numPr>
        <w:spacing w:after="60"/>
      </w:pPr>
      <w:r>
        <w:t xml:space="preserve">In scope: Google as the sign-in provider, Bff-mediated OAuth flow, session cookie strategy, Bff -&gt; API identity forwarding, Identity data model changes, JIT user provisioning.</w:t>
      </w:r>
    </w:p>
    <w:p>
      <w:pPr>
        <w:pStyle w:val="ListParagraph"/>
        <w:numPr>
          <w:ilvl w:val="0"/>
          <w:numId w:val="2"/>
        </w:numPr>
        <w:spacing w:after="60"/>
      </w:pPr>
      <w:r>
        <w:t xml:space="preserve">Out of scope (for this iteration): additional external providers (Microsoft, Facebook, ...), role/permission management beyond the existing IsActive flag, Flagsmith integration itself (a config placeholder is defined so the behavior can move to Flagsmith later without a redesign).</w:t>
      </w:r>
    </w:p>
    <w:p>
      <w:pPr>
        <w:pStyle w:val="Heading1"/>
        <w:spacing w:after="160" w:before="320"/>
      </w:pPr>
      <w:r>
        <w:t xml:space="preserve">3. Google Cloud Console Setup</w:t>
      </w:r>
    </w:p>
    <w:p>
      <w:pPr>
        <w:spacing w:after="160"/>
      </w:pPr>
      <w:r>
        <w:t xml:space="preserve">Configuration performed against a Google Cloud project dedicated to (or reused for) OCRWeb development. OCRWeb.Bff must already be serving HTTPS locally at https://localhost:7100 using the repo's dev cert (CLAUDE.md -&gt; "Dev HTTPS cert") before the redirect URI below will work end-to-end.</w:t>
      </w:r>
    </w:p>
    <w:p>
      <w:pPr>
        <w:pStyle w:val="Heading2"/>
        <w:spacing w:after="120" w:before="260"/>
      </w:pPr>
      <w:r>
        <w:t xml:space="preserve">3.1 OAuth consent screen — Audience</w:t>
      </w:r>
    </w:p>
    <w:p>
      <w:pPr>
        <w:pStyle w:val="ListParagraph"/>
        <w:numPr>
          <w:ilvl w:val="0"/>
          <w:numId w:val="3"/>
        </w:numPr>
        <w:spacing w:after="80"/>
      </w:pPr>
      <w:r>
        <w:t xml:space="preserve">APIs &amp; Services -&gt; OAuth consent screen ("Google Auth Platform").</w:t>
      </w:r>
    </w:p>
    <w:p>
      <w:pPr>
        <w:pStyle w:val="ListParagraph"/>
        <w:numPr>
          <w:ilvl w:val="0"/>
          <w:numId w:val="3"/>
        </w:numPr>
        <w:spacing w:after="80"/>
      </w:pPr>
      <w:r>
        <w:t xml:space="preserve">User Type: External (no Google Workspace organization in use).</w:t>
      </w:r>
    </w:p>
    <w:p>
      <w:pPr>
        <w:pStyle w:val="ListParagraph"/>
        <w:numPr>
          <w:ilvl w:val="0"/>
          <w:numId w:val="3"/>
        </w:numPr>
        <w:spacing w:after="80"/>
      </w:pPr>
      <w:r>
        <w:t xml:space="preserve">App name, User support email, Developer contact email filled in.</w:t>
      </w:r>
    </w:p>
    <w:p>
      <w:pPr>
        <w:pStyle w:val="ListParagraph"/>
        <w:numPr>
          <w:ilvl w:val="0"/>
          <w:numId w:val="3"/>
        </w:numPr>
        <w:spacing w:after="80"/>
      </w:pPr>
      <w:r>
        <w:t xml:space="preserve">Publishing status left as Testing — only accounts added as Test users can sign in; no Google verification review is required at this stage.</w:t>
      </w:r>
    </w:p>
    <w:p>
      <w:pPr>
        <w:pStyle w:val="ListParagraph"/>
        <w:numPr>
          <w:ilvl w:val="0"/>
          <w:numId w:val="3"/>
        </w:numPr>
        <w:spacing w:after="80"/>
      </w:pPr>
      <w:r>
        <w:t xml:space="preserve">Audience tab -&gt; Test users -&gt; Add users -&gt; added every Google account needed for development sign-in (see Section 3.4 table).</w:t>
      </w:r>
    </w:p>
    <w:p>
      <w:pPr>
        <w:pStyle w:val="Heading2"/>
        <w:spacing w:after="120" w:before="260"/>
      </w:pPr>
      <w:r>
        <w:t xml:space="preserve">3.2 Scopes — Data Access</w:t>
      </w:r>
    </w:p>
    <w:p>
      <w:pPr>
        <w:pStyle w:val="ListParagraph"/>
        <w:numPr>
          <w:ilvl w:val="0"/>
          <w:numId w:val="3"/>
        </w:numPr>
        <w:spacing w:after="80"/>
      </w:pPr>
      <w:r>
        <w:t xml:space="preserve">Data Access tab -&gt; Add or remove scopes.</w:t>
      </w:r>
    </w:p>
    <w:p>
      <w:pPr>
        <w:pStyle w:val="ListParagraph"/>
        <w:numPr>
          <w:ilvl w:val="0"/>
          <w:numId w:val="3"/>
        </w:numPr>
        <w:spacing w:after="80"/>
      </w:pPr>
      <w:r>
        <w:t xml:space="preserve">openid / email / profile are not tied to any enabled Google API, so they do not appear in the default filtered scope table.</w:t>
      </w:r>
    </w:p>
    <w:p>
      <w:pPr>
        <w:pStyle w:val="ListParagraph"/>
        <w:numPr>
          <w:ilvl w:val="0"/>
          <w:numId w:val="3"/>
        </w:numPr>
        <w:spacing w:after="80"/>
      </w:pPr>
      <w:r>
        <w:t xml:space="preserve">Used the "Manually add scopes" box at the bottom of the panel and pasted: openid, https://www.googleapis.com/auth/userinfo.email, https://www.googleapis.com/auth/userinfo.profile.</w:t>
      </w:r>
    </w:p>
    <w:p>
      <w:pPr>
        <w:pStyle w:val="ListParagraph"/>
        <w:numPr>
          <w:ilvl w:val="0"/>
          <w:numId w:val="3"/>
        </w:numPr>
        <w:spacing w:after="80"/>
      </w:pPr>
      <w:r>
        <w:t xml:space="preserve">Clicked Add to Table, confirmed all three were selected, then Update.</w:t>
      </w:r>
    </w:p>
    <w:p>
      <w:pPr>
        <w:pStyle w:val="Heading2"/>
        <w:spacing w:after="120" w:before="260"/>
      </w:pPr>
      <w:r>
        <w:t xml:space="preserve">3.3 OAuth Client ID — Clients</w:t>
      </w:r>
    </w:p>
    <w:p>
      <w:pPr>
        <w:pStyle w:val="ListParagraph"/>
        <w:numPr>
          <w:ilvl w:val="0"/>
          <w:numId w:val="3"/>
        </w:numPr>
        <w:spacing w:after="80"/>
      </w:pPr>
      <w:r>
        <w:t xml:space="preserve">Clients tab -&gt; + Create Client -&gt; Application type: Web application.</w:t>
      </w:r>
    </w:p>
    <w:p>
      <w:pPr>
        <w:pStyle w:val="ListParagraph"/>
        <w:numPr>
          <w:ilvl w:val="0"/>
          <w:numId w:val="3"/>
        </w:numPr>
        <w:spacing w:after="80"/>
      </w:pPr>
      <w:r>
        <w:t xml:space="preserve">Name: OCRWebBffDev.</w:t>
      </w:r>
    </w:p>
    <w:p>
      <w:pPr>
        <w:pStyle w:val="ListParagraph"/>
        <w:numPr>
          <w:ilvl w:val="0"/>
          <w:numId w:val="3"/>
        </w:numPr>
        <w:spacing w:after="80"/>
      </w:pPr>
      <w:r>
        <w:t xml:space="preserve">Authorized JavaScript origins: https://localhost:7100 (origin only — a path here fails with "Invalid Origin: URIs must not contain a path or end with '/'").</w:t>
      </w:r>
    </w:p>
    <w:p>
      <w:pPr>
        <w:pStyle w:val="ListParagraph"/>
        <w:numPr>
          <w:ilvl w:val="0"/>
          <w:numId w:val="3"/>
        </w:numPr>
        <w:spacing w:after="80"/>
      </w:pPr>
      <w:r>
        <w:t xml:space="preserve">Authorized redirect URIs: https://localhost:7100/signin-google (the default CallbackPath used by Microsoft.AspNetCore.Authentication.Google).</w:t>
      </w:r>
    </w:p>
    <w:p>
      <w:pPr>
        <w:pStyle w:val="ListParagraph"/>
        <w:numPr>
          <w:ilvl w:val="0"/>
          <w:numId w:val="3"/>
        </w:numPr>
        <w:spacing w:after="80"/>
      </w:pPr>
      <w:r>
        <w:t xml:space="preserve">Created the client. Google returned a Client ID and Client Secret in a one-time dialog.</w:t>
      </w:r>
    </w:p>
    <w:p>
      <w:pPr>
        <w:pStyle w:val="Heading2"/>
        <w:spacing w:after="120" w:before="260"/>
      </w:pPr>
      <w:r>
        <w:t xml:space="preserve">3.4 Recorded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E7E6E6" w:val="clear"/>
          </w:tcPr>
          <w:p>
            <w:r>
              <w:rPr>
                <w:b/>
                <w:bCs/>
              </w:rPr>
              <w:t xml:space="preserve">Field</w:t>
            </w:r>
          </w:p>
        </w:tc>
        <w:tc>
          <w:tcPr>
            <w:tcW w:type="dxa" w:w="6250"/>
            <w:shd w:fill="E7E6E6" w:val="clear"/>
          </w:tcPr>
          <w:p>
            <w:r>
              <w:rPr>
                <w:b/>
                <w:bCs/>
              </w:rPr>
              <w:t xml:space="preserve">Value</w:t>
            </w:r>
          </w:p>
        </w:tc>
      </w:tr>
      <w:tr>
        <w:tc>
          <w:tcPr>
            <w:tcW w:type="dxa" w:w="3100"/>
          </w:tcPr>
          <w:p>
            <w:r>
              <w:rPr>
                <w:b w:val="false"/>
                <w:bCs w:val="false"/>
              </w:rPr>
              <w:t xml:space="preserve">GCP Project</w:t>
            </w:r>
          </w:p>
        </w:tc>
        <w:tc>
          <w:tcPr>
            <w:tcW w:type="dxa" w:w="6250"/>
          </w:tcPr>
          <w:p>
            <w:r>
              <w:rPr>
                <w:b w:val="false"/>
                <w:bCs w:val="false"/>
              </w:rPr>
              <w:t xml:space="preserve">OCRWeb-Dev (or existing project reused for local development)</w:t>
            </w:r>
          </w:p>
        </w:tc>
      </w:tr>
      <w:tr>
        <w:tc>
          <w:tcPr>
            <w:tcW w:type="dxa" w:w="3100"/>
          </w:tcPr>
          <w:p>
            <w:r>
              <w:rPr>
                <w:b w:val="false"/>
                <w:bCs w:val="false"/>
              </w:rPr>
              <w:t xml:space="preserve">User Type</w:t>
            </w:r>
          </w:p>
        </w:tc>
        <w:tc>
          <w:tcPr>
            <w:tcW w:type="dxa" w:w="6250"/>
          </w:tcPr>
          <w:p>
            <w:r>
              <w:rPr>
                <w:b w:val="false"/>
                <w:bCs w:val="false"/>
              </w:rPr>
              <w:t xml:space="preserve">External</w:t>
            </w:r>
          </w:p>
        </w:tc>
      </w:tr>
      <w:tr>
        <w:tc>
          <w:tcPr>
            <w:tcW w:type="dxa" w:w="3100"/>
          </w:tcPr>
          <w:p>
            <w:r>
              <w:rPr>
                <w:b w:val="false"/>
                <w:bCs w:val="false"/>
              </w:rPr>
              <w:t xml:space="preserve">App name</w:t>
            </w:r>
          </w:p>
        </w:tc>
        <w:tc>
          <w:tcPr>
            <w:tcW w:type="dxa" w:w="6250"/>
          </w:tcPr>
          <w:p>
            <w:r>
              <w:rPr>
                <w:b w:val="false"/>
                <w:bCs w:val="false"/>
              </w:rPr>
              <w:t xml:space="preserve">OCRWeb Dev</w:t>
            </w:r>
          </w:p>
        </w:tc>
      </w:tr>
      <w:tr>
        <w:tc>
          <w:tcPr>
            <w:tcW w:type="dxa" w:w="3100"/>
          </w:tcPr>
          <w:p>
            <w:r>
              <w:rPr>
                <w:b w:val="false"/>
                <w:bCs w:val="false"/>
              </w:rPr>
              <w:t xml:space="preserve">Publishing status</w:t>
            </w:r>
          </w:p>
        </w:tc>
        <w:tc>
          <w:tcPr>
            <w:tcW w:type="dxa" w:w="6250"/>
          </w:tcPr>
          <w:p>
            <w:r>
              <w:rPr>
                <w:b w:val="false"/>
                <w:bCs w:val="false"/>
              </w:rPr>
              <w:t xml:space="preserve">Testing (max 100 test users, no verification required)</w:t>
            </w:r>
          </w:p>
        </w:tc>
      </w:tr>
      <w:tr>
        <w:tc>
          <w:tcPr>
            <w:tcW w:type="dxa" w:w="3100"/>
          </w:tcPr>
          <w:p>
            <w:r>
              <w:rPr>
                <w:b w:val="false"/>
                <w:bCs w:val="false"/>
              </w:rPr>
              <w:t xml:space="preserve">Scopes</w:t>
            </w:r>
          </w:p>
        </w:tc>
        <w:tc>
          <w:tcPr>
            <w:tcW w:type="dxa" w:w="6250"/>
          </w:tcPr>
          <w:p>
            <w:r>
              <w:rPr>
                <w:b w:val="false"/>
                <w:bCs w:val="false"/>
              </w:rPr>
              <w:t xml:space="preserve">openid, .../auth/userinfo.email, .../auth/userinfo.profile (added via the "Manually add scopes" box — not tied to an enabled API, so they don't appear in the default filtered table)</w:t>
            </w:r>
          </w:p>
        </w:tc>
      </w:tr>
      <w:tr>
        <w:tc>
          <w:tcPr>
            <w:tcW w:type="dxa" w:w="3100"/>
          </w:tcPr>
          <w:p>
            <w:r>
              <w:rPr>
                <w:b w:val="false"/>
                <w:bCs w:val="false"/>
              </w:rPr>
              <w:t xml:space="preserve">Test users</w:t>
            </w:r>
          </w:p>
        </w:tc>
        <w:tc>
          <w:tcPr>
            <w:tcW w:type="dxa" w:w="6250"/>
          </w:tcPr>
          <w:p>
            <w:r>
              <w:rPr>
                <w:b w:val="false"/>
                <w:bCs w:val="false"/>
              </w:rPr>
              <w:t xml:space="preserve">orangepuffmufc@gmail.com (add every Google account that needs to sign in while Publishing status = Testing)</w:t>
            </w:r>
          </w:p>
        </w:tc>
      </w:tr>
      <w:tr>
        <w:tc>
          <w:tcPr>
            <w:tcW w:type="dxa" w:w="3100"/>
          </w:tcPr>
          <w:p>
            <w:r>
              <w:rPr>
                <w:b w:val="false"/>
                <w:bCs w:val="false"/>
              </w:rPr>
              <w:t xml:space="preserve">Client type</w:t>
            </w:r>
          </w:p>
        </w:tc>
        <w:tc>
          <w:tcPr>
            <w:tcW w:type="dxa" w:w="6250"/>
          </w:tcPr>
          <w:p>
            <w:r>
              <w:rPr>
                <w:b w:val="false"/>
                <w:bCs w:val="false"/>
              </w:rPr>
              <w:t xml:space="preserve">Web application</w:t>
            </w:r>
          </w:p>
        </w:tc>
      </w:tr>
      <w:tr>
        <w:tc>
          <w:tcPr>
            <w:tcW w:type="dxa" w:w="3100"/>
          </w:tcPr>
          <w:p>
            <w:r>
              <w:rPr>
                <w:b w:val="false"/>
                <w:bCs w:val="false"/>
              </w:rPr>
              <w:t xml:space="preserve">Client name</w:t>
            </w:r>
          </w:p>
        </w:tc>
        <w:tc>
          <w:tcPr>
            <w:tcW w:type="dxa" w:w="6250"/>
          </w:tcPr>
          <w:p>
            <w:r>
              <w:rPr>
                <w:b w:val="false"/>
                <w:bCs w:val="false"/>
              </w:rPr>
              <w:t xml:space="preserve">OCRWebBffDev</w:t>
            </w:r>
          </w:p>
        </w:tc>
      </w:tr>
      <w:tr>
        <w:tc>
          <w:tcPr>
            <w:tcW w:type="dxa" w:w="3100"/>
          </w:tcPr>
          <w:p>
            <w:r>
              <w:rPr>
                <w:b w:val="false"/>
                <w:bCs w:val="false"/>
              </w:rPr>
              <w:t xml:space="preserve">Authorized JavaScript origins</w:t>
            </w:r>
          </w:p>
        </w:tc>
        <w:tc>
          <w:tcPr>
            <w:tcW w:type="dxa" w:w="6250"/>
          </w:tcPr>
          <w:p>
            <w:r>
              <w:rPr>
                <w:rFonts w:ascii="Consolas" w:cs="Consolas" w:eastAsia="Consolas" w:hAnsi="Consolas"/>
                <w:b w:val="false"/>
                <w:bCs w:val="false"/>
                <w:sz w:val="20"/>
                <w:szCs w:val="20"/>
              </w:rPr>
              <w:t xml:space="preserve">https://localhost:7100 (origin only — no path allowed)</w:t>
            </w:r>
          </w:p>
        </w:tc>
      </w:tr>
      <w:tr>
        <w:tc>
          <w:tcPr>
            <w:tcW w:type="dxa" w:w="3100"/>
          </w:tcPr>
          <w:p>
            <w:r>
              <w:rPr>
                <w:b w:val="false"/>
                <w:bCs w:val="false"/>
              </w:rPr>
              <w:t xml:space="preserve">Authorized redirect URIs</w:t>
            </w:r>
          </w:p>
        </w:tc>
        <w:tc>
          <w:tcPr>
            <w:tcW w:type="dxa" w:w="6250"/>
          </w:tcPr>
          <w:p>
            <w:r>
              <w:rPr>
                <w:rFonts w:ascii="Consolas" w:cs="Consolas" w:eastAsia="Consolas" w:hAnsi="Consolas"/>
                <w:b w:val="false"/>
                <w:bCs w:val="false"/>
                <w:sz w:val="20"/>
                <w:szCs w:val="20"/>
              </w:rPr>
              <w:t xml:space="preserve">https://localhost:7100/signin-google</w:t>
            </w:r>
          </w:p>
        </w:tc>
      </w:tr>
      <w:tr>
        <w:tc>
          <w:tcPr>
            <w:tcW w:type="dxa" w:w="3100"/>
          </w:tcPr>
          <w:p>
            <w:r>
              <w:rPr>
                <w:b w:val="false"/>
                <w:bCs w:val="false"/>
              </w:rPr>
              <w:t xml:space="preserve">Client ID / Secret</w:t>
            </w:r>
          </w:p>
        </w:tc>
        <w:tc>
          <w:tcPr>
            <w:tcW w:type="dxa" w:w="6250"/>
          </w:tcPr>
          <w:p>
            <w:r>
              <w:rPr>
                <w:b w:val="false"/>
                <w:bCs w:val="false"/>
              </w:rPr>
              <w:t xml:space="preserve">Stored via dotnet user-secrets on OCRWeb.Bff only — see docs/Authentication/prepare-for-dev.docx</w:t>
            </w:r>
          </w:p>
        </w:tc>
      </w:tr>
    </w:tbl>
    <w:p>
      <w:pPr>
        <w:pStyle w:val="Heading2"/>
        <w:spacing w:after="120" w:before="260"/>
      </w:pPr>
      <w:r>
        <w:t xml:space="preserve">3.5 Handling the credentials</w:t>
      </w:r>
    </w:p>
    <w:p>
      <w:pPr>
        <w:spacing w:after="160"/>
      </w:pPr>
      <w:r>
        <w:t xml:space="preserve">The Client Secret must never be committed to the repository or written into any appsettings*.json file. Setup steps for a fresh machine — including the RS256 internal token keypair from Section 6 — are kept in docs/Authentication/prepare-for-dev.docx, not duplicated here.</w:t>
      </w:r>
    </w:p>
    <w:p>
      <w:pPr>
        <w:pStyle w:val="Heading1"/>
        <w:spacing w:after="160" w:before="320"/>
      </w:pPr>
      <w:r>
        <w:t xml:space="preserve">4. Authentication Flow</w:t>
      </w:r>
    </w:p>
    <w:p>
      <w:pPr>
        <w:spacing w:after="160"/>
      </w:pPr>
      <w:r>
        <w:t xml:space="preserve">BFF pattern using the OAuth 2.0 Authorization Code flow. Angular never sees a Google token; it only ever holds the Bff's own session cookie.</w:t>
      </w:r>
    </w:p>
    <w:p>
      <w:pPr>
        <w:pStyle w:val="ListParagraph"/>
        <w:numPr>
          <w:ilvl w:val="0"/>
          <w:numId w:val="3"/>
        </w:numPr>
        <w:spacing w:after="80"/>
      </w:pPr>
      <w:r>
        <w:t xml:space="preserve">User clicks "Sign in with Google" in Angular -&gt; browser navigates (full page, not a fetch call) to GET /bff/login?returnUrl=&lt;current path&gt;.</w:t>
      </w:r>
    </w:p>
    <w:p>
      <w:pPr>
        <w:pStyle w:val="ListParagraph"/>
        <w:numPr>
          <w:ilvl w:val="0"/>
          <w:numId w:val="3"/>
        </w:numPr>
        <w:spacing w:after="80"/>
      </w:pPr>
      <w:r>
        <w:t xml:space="preserve">Bff validates returnUrl is a safe relative path (must start with "/", must not start with "//" or "/\\") — anything else falls back to "/". Combines it with the configured Frontend:BaseUrl and calls Challenge(new AuthenticationProperties { RedirectUri = ... }, GoogleDefaults.AuthenticationScheme).</w:t>
      </w:r>
    </w:p>
    <w:p>
      <w:pPr>
        <w:pStyle w:val="ListParagraph"/>
        <w:numPr>
          <w:ilvl w:val="0"/>
          <w:numId w:val="3"/>
        </w:numPr>
        <w:spacing w:after="80"/>
      </w:pPr>
      <w:r>
        <w:t xml:space="preserve">User authenticates / consents at Google -&gt; Google redirects back to https://localhost:7100/signin-google with an authorization code.</w:t>
      </w:r>
    </w:p>
    <w:p>
      <w:pPr>
        <w:pStyle w:val="ListParagraph"/>
        <w:numPr>
          <w:ilvl w:val="0"/>
          <w:numId w:val="3"/>
        </w:numPr>
        <w:spacing w:after="80"/>
      </w:pPr>
      <w:r>
        <w:t xml:space="preserve">The Google auth handler exchanges the code with Google server-to-server, obtaining the verified email, display name, Google subject id (sub), and email_verified (explicitly mapped — not included by the handler's default claim actions).</w:t>
      </w:r>
    </w:p>
    <w:p>
      <w:pPr>
        <w:pStyle w:val="ListParagraph"/>
        <w:numPr>
          <w:ilvl w:val="0"/>
          <w:numId w:val="3"/>
        </w:numPr>
        <w:spacing w:after="80"/>
      </w:pPr>
      <w:r>
        <w:t xml:space="preserve">OnCreatingTicket calls POST /internal/identity/google-provision (Section 6) with those claims. On success, the Google sub claim is removed and replaced with the resolved internal UserId. On rejection, an exception is thrown so OnRemoteFailure can redirect to /auth-error instead of the flow completing.</w:t>
      </w:r>
    </w:p>
    <w:p>
      <w:pPr>
        <w:pStyle w:val="ListParagraph"/>
        <w:numPr>
          <w:ilvl w:val="0"/>
          <w:numId w:val="3"/>
        </w:numPr>
        <w:spacing w:after="80"/>
      </w:pPr>
      <w:r>
        <w:t xml:space="preserve">Bff issues its own session cookie (Section 5) and redirects the browser back to returnUrl inside the Angular app.</w:t>
      </w:r>
    </w:p>
    <w:p>
      <w:pPr>
        <w:pStyle w:val="ListParagraph"/>
        <w:numPr>
          <w:ilvl w:val="0"/>
          <w:numId w:val="3"/>
        </w:numPr>
        <w:spacing w:after="80"/>
      </w:pPr>
      <w:r>
        <w:t xml:space="preserve">On failure or user cancellation at Google's consent screen, the Bff redirects to {Frontend:BaseUrl}/auth-error?reason=&lt;reason&gt; — email_not_verified or registration_disabled map to specific messages in the frontend; anything else shows a generic message.</w:t>
      </w:r>
    </w:p>
    <w:p>
      <w:pPr>
        <w:pBdr>
          <w:left w:val="single" w:color="999999" w:sz="12" w:space="8"/>
        </w:pBdr>
        <w:spacing w:after="160"/>
        <w:ind w:left="100"/>
      </w:pPr>
      <w:r>
        <w:rPr>
          <w:b/>
          <w:bCs/>
        </w:rPr>
        <w:t xml:space="preserve">Security: </w:t>
      </w:r>
      <w:r>
        <w:t xml:space="preserve">returnUrl must be validated as a relative path within the Angular app's own origin (must start with "/", must not be an absolute URL or a protocol-relative "//host" value). Without this check, the endpoint is an open-redirect vector — an attacker could craft a login link with returnUrl set to an external phishing site.</w:t>
      </w:r>
    </w:p>
    <w:p>
      <w:pPr>
        <w:pBdr>
          <w:left w:val="single" w:color="999999" w:sz="12" w:space="8"/>
        </w:pBdr>
        <w:spacing w:after="160"/>
        <w:ind w:left="100"/>
      </w:pPr>
      <w:r>
        <w:rPr>
          <w:b/>
          <w:bCs/>
        </w:rPr>
        <w:t xml:space="preserve">Done: </w:t>
      </w:r>
      <w:r>
        <w:t xml:space="preserve">Implemented exactly as designed, including the returnUrl validation and the {Frontend:BaseUrl} absolute-redirect requirement discovered during implementation (a relative redirect from Bff's own origin does not reach Angular's separate dev-server origin).</w:t>
      </w:r>
    </w:p>
    <w:p>
      <w:pPr>
        <w:pStyle w:val="Heading1"/>
        <w:spacing w:after="160" w:before="320"/>
      </w:pPr>
      <w:r>
        <w:t xml:space="preserve">5. Session &amp; Cookie Strategy</w:t>
      </w:r>
    </w:p>
    <w:p>
      <w:pPr>
        <w:pStyle w:val="Heading2"/>
        <w:spacing w:after="120" w:before="260"/>
      </w:pPr>
      <w:r>
        <w:t xml:space="preserve">5.1 Same-origin via reverse proxy</w:t>
      </w:r>
    </w:p>
    <w:p>
      <w:pPr>
        <w:spacing w:after="160"/>
      </w:pPr>
      <w:r>
        <w:t xml:space="preserve">Angular (localhost:4200) and Bff (localhost:7100) are different origins by default, which would force the session cookie to SameSite=None and require CORS with credentials — weakening CSRF protection. Instead, Angular and Bff are made same-origin:</w:t>
      </w:r>
    </w:p>
    <w:p>
      <w:pPr>
        <w:pStyle w:val="ListParagraph"/>
        <w:numPr>
          <w:ilvl w:val="0"/>
          <w:numId w:val="2"/>
        </w:numPr>
        <w:spacing w:after="60"/>
      </w:pPr>
      <w:r>
        <w:t xml:space="preserve">Dev: Angular CLI proxy (proxy.conf.json, wired into angular.json's serve.options.proxyConfig) forwards /bff/** from ng serve to https://localhost:7100, with secure:false to accept the local dev cert.</w:t>
      </w:r>
    </w:p>
    <w:p>
      <w:pPr>
        <w:pStyle w:val="ListParagraph"/>
        <w:numPr>
          <w:ilvl w:val="0"/>
          <w:numId w:val="2"/>
        </w:numPr>
        <w:spacing w:after="60"/>
      </w:pPr>
      <w:r>
        <w:t xml:space="preserve">Production: a single reverse proxy serves the static Angular build and forwards /bff/** to the Bff on the same domain (not yet built — Angular is still dev-server only).</w:t>
      </w:r>
    </w:p>
    <w:p>
      <w:pPr>
        <w:spacing w:after="160"/>
      </w:pPr>
      <w:r>
        <w:t xml:space="preserve">Result: the cookie is a normal first-party cookie and can use SameSite=Lax.</w:t>
      </w:r>
    </w:p>
    <w:p>
      <w:pPr>
        <w:pStyle w:val="Heading2"/>
        <w:spacing w:after="120" w:before="260"/>
      </w:pPr>
      <w:r>
        <w:t xml:space="preserve">5.2 Session lifetime</w:t>
      </w:r>
    </w:p>
    <w:p>
      <w:pPr>
        <w:pStyle w:val="ListParagraph"/>
        <w:numPr>
          <w:ilvl w:val="0"/>
          <w:numId w:val="2"/>
        </w:numPr>
        <w:spacing w:after="60"/>
      </w:pPr>
      <w:r>
        <w:t xml:space="preserve">Sliding expiration, idle timeout: 8 hours of inactivity signs the user out (CookieAuthenticationOptions.ExpireTimeSpan + SlidingExpiration = true).</w:t>
      </w:r>
    </w:p>
    <w:p>
      <w:pPr>
        <w:pStyle w:val="ListParagraph"/>
        <w:numPr>
          <w:ilvl w:val="0"/>
          <w:numId w:val="2"/>
        </w:numPr>
        <w:spacing w:after="60"/>
      </w:pPr>
      <w:r>
        <w:t xml:space="preserve">Absolute expiration: 30 days maximum, regardless of activity — checked in OnValidatePrincipal against AuthenticationProperties.IssuedUtc (a built-in property, no custom claim needed).</w:t>
      </w:r>
    </w:p>
    <w:p>
      <w:pPr>
        <w:pStyle w:val="Heading2"/>
        <w:spacing w:after="120" w:before="260"/>
      </w:pPr>
      <w:r>
        <w:t xml:space="preserve">5.3 Self-contained cookie with periodic revalidation</w:t>
      </w:r>
    </w:p>
    <w:p>
      <w:pPr>
        <w:spacing w:after="160"/>
      </w:pPr>
      <w:r>
        <w:t xml:space="preserve">The session is a self-contained encrypted cookie (ASP.NET Core Data Protection) — no server-side session store. To still support disabling a user without waiting for the cookie to expire naturally, CookieAuthenticationEvents.OnValidatePrincipal re-checks every 5 minutes, throttled via a custom "lv" (last-validated) claim rather than a built-in ValidationInterval (that property belongs to ASP.NET Core Identity's SecurityStampValidator, which this app does not use):</w:t>
      </w:r>
    </w:p>
    <w:p>
      <w:pPr>
        <w:pStyle w:val="ListParagraph"/>
        <w:numPr>
          <w:ilvl w:val="0"/>
          <w:numId w:val="2"/>
        </w:numPr>
        <w:spacing w:after="60"/>
      </w:pPr>
      <w:r>
        <w:t xml:space="preserve">On each request, if IssuedUtc is more than 30 days old, RejectPrincipal() + sign out immediately — this check is unthrottled.</w:t>
      </w:r>
    </w:p>
    <w:p>
      <w:pPr>
        <w:pStyle w:val="ListParagraph"/>
        <w:numPr>
          <w:ilvl w:val="0"/>
          <w:numId w:val="2"/>
        </w:numPr>
        <w:spacing w:after="60"/>
      </w:pPr>
      <w:r>
        <w:t xml:space="preserve">Otherwise, if the "lv" claim is less than 5 minutes old, skip the active check entirely (no HTTP call).</w:t>
      </w:r>
    </w:p>
    <w:p>
      <w:pPr>
        <w:pStyle w:val="ListParagraph"/>
        <w:numPr>
          <w:ilvl w:val="0"/>
          <w:numId w:val="2"/>
        </w:numPr>
        <w:spacing w:after="60"/>
      </w:pPr>
      <w:r>
        <w:t xml:space="preserve">Otherwise, call GET /internal/identity/users/{id}/is-active (Section 6). If not active, RejectPrincipal() + sign out. If active, stamp "lv" = now and set ShouldRenew = true so the refreshed claim persists.</w:t>
      </w:r>
    </w:p>
    <w:p>
      <w:pPr>
        <w:pBdr>
          <w:left w:val="single" w:color="999999" w:sz="12" w:space="8"/>
        </w:pBdr>
        <w:spacing w:after="160"/>
        <w:ind w:left="100"/>
      </w:pPr>
      <w:r>
        <w:rPr>
          <w:b/>
          <w:bCs/>
        </w:rPr>
        <w:t xml:space="preserve">Open item: </w:t>
      </w:r>
      <w:r>
        <w:t xml:space="preserve">Running the Bff behind Docker: the Data Protection key ring must be persisted to a shared location (mounted volume, or a key ring stored in the OCRWeb database) — otherwise every container restart invalidates every active session. Not yet addressed — the app still runs via dev server only.</w:t>
      </w:r>
    </w:p>
    <w:p>
      <w:pPr>
        <w:pBdr>
          <w:left w:val="single" w:color="999999" w:sz="12" w:space="8"/>
        </w:pBdr>
        <w:spacing w:after="160"/>
        <w:ind w:left="100"/>
      </w:pPr>
      <w:r>
        <w:rPr>
          <w:b/>
          <w:bCs/>
        </w:rPr>
        <w:t xml:space="preserve">Done: </w:t>
      </w:r>
      <w:r>
        <w:t xml:space="preserve">IsActive revalidation and the absolute-expiration check are both implemented in OCRWeb.Bff's AddCookie().Events.OnValidatePrincipal.</w:t>
      </w:r>
    </w:p>
    <w:p>
      <w:pPr>
        <w:pStyle w:val="Heading1"/>
        <w:spacing w:after="160" w:before="320"/>
      </w:pPr>
      <w:r>
        <w:t xml:space="preserve">6. Bff -&gt; API Identity Forwarding</w:t>
      </w:r>
    </w:p>
    <w:p>
      <w:pPr>
        <w:spacing w:after="160"/>
      </w:pPr>
      <w:r>
        <w:t xml:space="preserve">OCRWeb.API's ports remain reachable directly during development (see CLAUDE.md), so a plain trusted header (e.g. X-Internal-User-Id) is not sufficient — it could be forged by any client that reaches the API directly. Instead, the Bff mints a short-lived, signed internal token for every call it makes to the API on behalf of the signed-in user.</w:t>
      </w:r>
    </w:p>
    <w:p>
      <w:pPr>
        <w:pStyle w:val="Heading2"/>
        <w:spacing w:after="120" w:before="260"/>
      </w:pPr>
      <w:r>
        <w:t xml:space="preserve">6.1 Token design</w:t>
      </w:r>
    </w:p>
    <w:p>
      <w:pPr>
        <w:pStyle w:val="ListParagraph"/>
        <w:numPr>
          <w:ilvl w:val="0"/>
          <w:numId w:val="2"/>
        </w:numPr>
        <w:spacing w:after="60"/>
      </w:pPr>
      <w:r>
        <w:t xml:space="preserve">Algorithm: RS256 (asymmetric). The Bff holds the private key (IInternalTokenIssuer, System.IdentityModel.Tokens.Jwt) and signs; the API holds only the public key (AddJwtBearer) and verifies. Even if the API were compromised, it cannot mint valid tokens.</w:t>
      </w:r>
    </w:p>
    <w:p>
      <w:pPr>
        <w:pStyle w:val="ListParagraph"/>
        <w:numPr>
          <w:ilvl w:val="0"/>
          <w:numId w:val="2"/>
        </w:numPr>
        <w:spacing w:after="60"/>
      </w:pPr>
      <w:r>
        <w:t xml:space="preserve">Lifetime: 30 seconds. Minted fresh per outgoing Bff -&gt; API call (InternalTokenDelegatingHandler attaches it to every request on the typed HttpClient); never cached or reused.</w:t>
      </w:r>
    </w:p>
    <w:p>
      <w:pPr>
        <w:pStyle w:val="ListParagraph"/>
        <w:numPr>
          <w:ilvl w:val="0"/>
          <w:numId w:val="2"/>
        </w:numPr>
        <w:spacing w:after="60"/>
      </w:pPr>
      <w:r>
        <w:t xml:space="preserve">Claims: sub (internal user id, omitted for the provisioning call since no user is resolved yet), iss = "ocrweb-bff", aud = "ocrweb-api" — both iss and aud are validated strictly by the API, with ClockSkew reduced to 10 seconds (the ASP.NET Core default of 5 minutes would otherwise let a nominally 30-second token remain valid far longer than intended).</w:t>
      </w:r>
    </w:p>
    <w:p>
      <w:pPr>
        <w:pStyle w:val="ListParagraph"/>
        <w:numPr>
          <w:ilvl w:val="0"/>
          <w:numId w:val="2"/>
        </w:numPr>
        <w:spacing w:after="60"/>
      </w:pPr>
      <w:r>
        <w:t xml:space="preserve">Transport: Authorization: Bearer &lt;token&gt; header on the Bff -&gt; API HTTP call. Bff &lt;-&gt; API communication is HTTPS only.</w:t>
      </w:r>
    </w:p>
    <w:p>
      <w:pPr>
        <w:pStyle w:val="ListParagraph"/>
        <w:numPr>
          <w:ilvl w:val="0"/>
          <w:numId w:val="2"/>
        </w:numPr>
        <w:spacing w:after="60"/>
      </w:pPr>
      <w:r>
        <w:t xml:space="preserve">Key storage: RSA keypair generated locally (openssl, PKCS#1 DER, base64-encoded — Windows PowerShell 5.1's built-in RSA classes lack ExportRSAPrivateKey()/ExportRSAPublicKey()) and stored as Authentication:InternalToken:PrivateKey (Bff only) / PublicKey (API only) via dotnet user-secrets locally, environment variables in Docker. Full step-by-step in docs/Authentication/prepare-for-dev.docx. The keypair is safe to regenerate independently on every dev machine — unlike the Google Client Secret, it isn't tied to any external registration.</w:t>
      </w:r>
    </w:p>
    <w:p>
      <w:pPr>
        <w:pStyle w:val="Heading2"/>
        <w:spacing w:after="120" w:before="260"/>
      </w:pPr>
      <w:r>
        <w:t xml:space="preserve">6.2 Internal endpoints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50"/>
      </w:tblGrid>
      <w:tr>
        <w:tc>
          <w:tcPr>
            <w:tcW w:type="dxa" w:w="1300"/>
            <w:shd w:fill="E7E6E6" w:val="clear"/>
          </w:tcPr>
          <w:p>
            <w:r>
              <w:rPr>
                <w:b/>
                <w:bCs/>
              </w:rPr>
              <w:t xml:space="preserve">Method</w:t>
            </w:r>
          </w:p>
        </w:tc>
        <w:tc>
          <w:tcPr>
            <w:tcW w:type="dxa" w:w="3600"/>
            <w:shd w:fill="E7E6E6" w:val="clear"/>
          </w:tcPr>
          <w:p>
            <w:r>
              <w:rPr>
                <w:b/>
                <w:bCs/>
              </w:rPr>
              <w:t xml:space="preserve">Path</w:t>
            </w:r>
          </w:p>
        </w:tc>
        <w:tc>
          <w:tcPr>
            <w:tcW w:type="dxa" w:w="4450"/>
            <w:shd w:fill="E7E6E6" w:val="clear"/>
          </w:tcPr>
          <w:p>
            <w:r>
              <w:rPr>
                <w:b/>
                <w:bCs/>
              </w:rPr>
              <w:t xml:space="preserve">Purpose</w:t>
            </w:r>
          </w:p>
        </w:tc>
      </w:tr>
      <w:tr>
        <w:tc>
          <w:tcPr>
            <w:tcW w:type="dxa" w:w="1300"/>
          </w:tcPr>
          <w:p>
            <w:r>
              <w:rPr>
                <w:b w:val="false"/>
                <w:bCs w:val="false"/>
              </w:rPr>
              <w:t xml:space="preserve">POST</w:t>
            </w:r>
          </w:p>
        </w:tc>
        <w:tc>
          <w:tcPr>
            <w:tcW w:type="dxa" w:w="3600"/>
          </w:tcPr>
          <w:p>
            <w:r>
              <w:rPr>
                <w:rFonts w:ascii="Consolas" w:cs="Consolas" w:eastAsia="Consolas" w:hAnsi="Consolas"/>
                <w:b w:val="false"/>
                <w:bCs w:val="false"/>
                <w:sz w:val="20"/>
                <w:szCs w:val="20"/>
              </w:rPr>
              <w:t xml:space="preserve">/internal/identity/google-provision</w:t>
            </w:r>
          </w:p>
        </w:tc>
        <w:tc>
          <w:tcPr>
            <w:tcW w:type="dxa" w:w="4450"/>
          </w:tcPr>
          <w:p>
            <w:r>
              <w:rPr>
                <w:b w:val="false"/>
                <w:bCs w:val="false"/>
              </w:rPr>
              <w:t xml:space="preserve">Resolves or creates the local user for a Google sign-in (wraps ProvisionGoogleUserCommand)</w:t>
            </w:r>
          </w:p>
        </w:tc>
      </w:tr>
      <w:tr>
        <w:tc>
          <w:tcPr>
            <w:tcW w:type="dxa" w:w="1300"/>
          </w:tcPr>
          <w:p>
            <w:r>
              <w:rPr>
                <w:b w:val="false"/>
                <w:bCs w:val="false"/>
              </w:rPr>
              <w:t xml:space="preserve">GET</w:t>
            </w:r>
          </w:p>
        </w:tc>
        <w:tc>
          <w:tcPr>
            <w:tcW w:type="dxa" w:w="3600"/>
          </w:tcPr>
          <w:p>
            <w:r>
              <w:rPr>
                <w:rFonts w:ascii="Consolas" w:cs="Consolas" w:eastAsia="Consolas" w:hAnsi="Consolas"/>
                <w:b w:val="false"/>
                <w:bCs w:val="false"/>
                <w:sz w:val="20"/>
                <w:szCs w:val="20"/>
              </w:rPr>
              <w:t xml:space="preserve">/internal/identity/users/{id}/is-active</w:t>
            </w:r>
          </w:p>
        </w:tc>
        <w:tc>
          <w:tcPr>
            <w:tcW w:type="dxa" w:w="4450"/>
          </w:tcPr>
          <w:p>
            <w:r>
              <w:rPr>
                <w:b w:val="false"/>
                <w:bCs w:val="false"/>
              </w:rPr>
              <w:t xml:space="preserve">Backs the Bff's 5-minute session revalidation (wraps IsUserActiveQuery)</w:t>
            </w:r>
          </w:p>
        </w:tc>
      </w:tr>
    </w:tbl>
    <w:p>
      <w:pPr>
        <w:spacing w:after="160"/>
      </w:pPr>
      <w:r>
        <w:t xml:space="preserve">Both endpoints live in OCRWeb.API/Endpoints/Internal/ (one subfolder per operation, each with its own Request/Response/Endpoint files) and are gated with AuthSchemes(JwtBearerDefaults.AuthenticationScheme).</w:t>
      </w:r>
    </w:p>
    <w:p>
      <w:pPr>
        <w:pStyle w:val="Heading2"/>
        <w:spacing w:after="120" w:before="260"/>
      </w:pPr>
      <w:r>
        <w:t xml:space="preserve">6.3 API-side changes (implemented)</w:t>
      </w:r>
    </w:p>
    <w:p>
      <w:pPr>
        <w:spacing w:after="160"/>
      </w:pPr>
      <w:r>
        <w:t xml:space="preserve">OCRWeb.API adds AddAuthentication().AddJwtBearer() validating the RS256 public key, iss, aud, and expiry. The CurrentUser stub (src/Backend/OCRWeb.API/Infrastructure/CurrentUser.cs), which previously fell back to a hardcoded seeded admin id when no claim was present, now throws InvalidOperationException instead — there is no more implicit admin fallback. All five existing OCRWeb.Document.Api endpoints were switched from AllowAnonymous() to AuthSchemes(JwtBearerDefaults.AuthenticationScheme) as part of the same change, since they call ICurrentUser.UserId internally.</w:t>
      </w:r>
    </w:p>
    <w:p>
      <w:pPr>
        <w:pStyle w:val="Heading2"/>
        <w:spacing w:after="120" w:before="260"/>
      </w:pPr>
      <w:r>
        <w:t xml:space="preserve">6.4 Future hardening (out of scope for this iteration)</w:t>
      </w:r>
    </w:p>
    <w:p>
      <w:pPr>
        <w:pBdr>
          <w:left w:val="single" w:color="999999" w:sz="12" w:space="8"/>
        </w:pBdr>
        <w:spacing w:after="160"/>
        <w:ind w:left="100"/>
      </w:pPr>
      <w:r>
        <w:rPr>
          <w:b/>
          <w:bCs/>
        </w:rPr>
        <w:t xml:space="preserve">Future: </w:t>
      </w:r>
      <w:r>
        <w:t xml:space="preserve">In production, OCRWeb.API's HTTP port should not be reachable from outside the internal network at all — only the Bff should be exposed publicly. This is a defense-in-depth measure in addition to the signed token, not a replacement for it. Development keeps the API port open for direct testing as already documented in CLAUDE.md.</w:t>
      </w:r>
    </w:p>
    <w:p>
      <w:pPr>
        <w:pStyle w:val="Heading1"/>
        <w:spacing w:after="160" w:before="320"/>
      </w:pPr>
      <w:r>
        <w:t xml:space="preserve">7. Identity Data Model &amp; Provisioning Rules</w:t>
      </w:r>
    </w:p>
    <w:p>
      <w:pPr>
        <w:pStyle w:val="Heading2"/>
        <w:spacing w:after="120" w:before="260"/>
      </w:pPr>
      <w:r>
        <w:t xml:space="preserve">7.1 Schema changes</w:t>
      </w:r>
    </w:p>
    <w:p>
      <w:pPr>
        <w:spacing w:after="160"/>
      </w:pPr>
      <w:r>
        <w:t xml:space="preserve">Table identity.ExternalLogins: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c>
          <w:tcPr>
            <w:tcW w:type="dxa" w:w="2400"/>
            <w:shd w:fill="E7E6E6" w:val="clear"/>
          </w:tcPr>
          <w:p>
            <w:r>
              <w:rPr>
                <w:b/>
                <w:bCs/>
              </w:rPr>
              <w:t xml:space="preserve">Column</w:t>
            </w:r>
          </w:p>
        </w:tc>
        <w:tc>
          <w:tcPr>
            <w:tcW w:type="dxa" w:w="2200"/>
            <w:shd w:fill="E7E6E6" w:val="clear"/>
          </w:tcPr>
          <w:p>
            <w:r>
              <w:rPr>
                <w:b/>
                <w:bCs/>
              </w:rPr>
              <w:t xml:space="preserve">Type</w:t>
            </w:r>
          </w:p>
        </w:tc>
        <w:tc>
          <w:tcPr>
            <w:tcW w:type="dxa" w:w="4750"/>
            <w:shd w:fill="E7E6E6" w:val="clear"/>
          </w:tcPr>
          <w:p>
            <w:r>
              <w:rPr>
                <w:b/>
                <w:bCs/>
              </w:rPr>
              <w:t xml:space="preserve">Notes</w:t>
            </w:r>
          </w:p>
        </w:tc>
      </w:tr>
      <w:tr>
        <w:tc>
          <w:tcPr>
            <w:tcW w:type="dxa" w:w="2400"/>
          </w:tcPr>
          <w:p>
            <w:r>
              <w:rPr>
                <w:rFonts w:ascii="Consolas" w:cs="Consolas" w:eastAsia="Consolas" w:hAnsi="Consolas"/>
                <w:b w:val="false"/>
                <w:bCs w:val="false"/>
                <w:sz w:val="20"/>
                <w:szCs w:val="20"/>
              </w:rPr>
              <w:t xml:space="preserve">iId</w:t>
            </w:r>
          </w:p>
        </w:tc>
        <w:tc>
          <w:tcPr>
            <w:tcW w:type="dxa" w:w="2200"/>
          </w:tcPr>
          <w:p>
            <w:r>
              <w:rPr>
                <w:b w:val="false"/>
                <w:bCs w:val="false"/>
              </w:rPr>
              <w:t xml:space="preserve">int, PK</w:t>
            </w:r>
          </w:p>
        </w:tc>
        <w:tc>
          <w:tcPr>
            <w:tcW w:type="dxa" w:w="4750"/>
          </w:tcPr>
          <w:p>
            <w:r>
              <w:rPr>
                <w:b w:val="false"/>
                <w:bCs w:val="false"/>
              </w:rPr>
              <w:t xml:space="preserve">Identity column</w:t>
            </w:r>
          </w:p>
        </w:tc>
      </w:tr>
      <w:tr>
        <w:tc>
          <w:tcPr>
            <w:tcW w:type="dxa" w:w="2400"/>
          </w:tcPr>
          <w:p>
            <w:r>
              <w:rPr>
                <w:rFonts w:ascii="Consolas" w:cs="Consolas" w:eastAsia="Consolas" w:hAnsi="Consolas"/>
                <w:b w:val="false"/>
                <w:bCs w:val="false"/>
                <w:sz w:val="20"/>
                <w:szCs w:val="20"/>
              </w:rPr>
              <w:t xml:space="preserve">iUserId</w:t>
            </w:r>
          </w:p>
        </w:tc>
        <w:tc>
          <w:tcPr>
            <w:tcW w:type="dxa" w:w="2200"/>
          </w:tcPr>
          <w:p>
            <w:r>
              <w:rPr>
                <w:b w:val="false"/>
                <w:bCs w:val="false"/>
              </w:rPr>
              <w:t xml:space="preserve">int, FK -&gt; Users</w:t>
            </w:r>
          </w:p>
        </w:tc>
        <w:tc>
          <w:tcPr>
            <w:tcW w:type="dxa" w:w="4750"/>
          </w:tcPr>
          <w:p>
            <w:r>
              <w:rPr>
                <w:b w:val="false"/>
                <w:bCs w:val="false"/>
              </w:rPr>
              <w:t xml:space="preserve">Owning user</w:t>
            </w:r>
          </w:p>
        </w:tc>
      </w:tr>
      <w:tr>
        <w:tc>
          <w:tcPr>
            <w:tcW w:type="dxa" w:w="2400"/>
          </w:tcPr>
          <w:p>
            <w:r>
              <w:rPr>
                <w:rFonts w:ascii="Consolas" w:cs="Consolas" w:eastAsia="Consolas" w:hAnsi="Consolas"/>
                <w:b w:val="false"/>
                <w:bCs w:val="false"/>
                <w:sz w:val="20"/>
                <w:szCs w:val="20"/>
              </w:rPr>
              <w:t xml:space="preserve">sProvider</w:t>
            </w:r>
          </w:p>
        </w:tc>
        <w:tc>
          <w:tcPr>
            <w:tcW w:type="dxa" w:w="2200"/>
          </w:tcPr>
          <w:p>
            <w:r>
              <w:rPr>
                <w:b w:val="false"/>
                <w:bCs w:val="false"/>
              </w:rPr>
              <w:t xml:space="preserve">nvarchar</w:t>
            </w:r>
          </w:p>
        </w:tc>
        <w:tc>
          <w:tcPr>
            <w:tcW w:type="dxa" w:w="4750"/>
          </w:tcPr>
          <w:p>
            <w:r>
              <w:rPr>
                <w:b w:val="false"/>
                <w:bCs w:val="false"/>
              </w:rPr>
              <w:t xml:space="preserve">e.g. "Google"</w:t>
            </w:r>
          </w:p>
        </w:tc>
      </w:tr>
      <w:tr>
        <w:tc>
          <w:tcPr>
            <w:tcW w:type="dxa" w:w="2400"/>
          </w:tcPr>
          <w:p>
            <w:r>
              <w:rPr>
                <w:rFonts w:ascii="Consolas" w:cs="Consolas" w:eastAsia="Consolas" w:hAnsi="Consolas"/>
                <w:b w:val="false"/>
                <w:bCs w:val="false"/>
                <w:sz w:val="20"/>
                <w:szCs w:val="20"/>
              </w:rPr>
              <w:t xml:space="preserve">sProviderKey</w:t>
            </w:r>
          </w:p>
        </w:tc>
        <w:tc>
          <w:tcPr>
            <w:tcW w:type="dxa" w:w="2200"/>
          </w:tcPr>
          <w:p>
            <w:r>
              <w:rPr>
                <w:b w:val="false"/>
                <w:bCs w:val="false"/>
              </w:rPr>
              <w:t xml:space="preserve">nvarchar</w:t>
            </w:r>
          </w:p>
        </w:tc>
        <w:tc>
          <w:tcPr>
            <w:tcW w:type="dxa" w:w="4750"/>
          </w:tcPr>
          <w:p>
            <w:r>
              <w:rPr>
                <w:b w:val="false"/>
                <w:bCs w:val="false"/>
              </w:rPr>
              <w:t xml:space="preserve">Google's stable subject id (sub claim)</w:t>
            </w:r>
          </w:p>
        </w:tc>
      </w:tr>
      <w:tr>
        <w:tc>
          <w:tcPr>
            <w:tcW w:type="dxa" w:w="2400"/>
          </w:tcPr>
          <w:p>
            <w:r>
              <w:rPr>
                <w:b w:val="false"/>
                <w:bCs w:val="false"/>
              </w:rPr>
              <w:t xml:space="preserve">dtInsertedTime</w:t>
            </w:r>
          </w:p>
        </w:tc>
        <w:tc>
          <w:tcPr>
            <w:tcW w:type="dxa" w:w="2200"/>
          </w:tcPr>
          <w:p>
            <w:r>
              <w:rPr>
                <w:b w:val="false"/>
                <w:bCs w:val="false"/>
              </w:rPr>
              <w:t xml:space="preserve">datetime2(3)</w:t>
            </w:r>
          </w:p>
        </w:tc>
        <w:tc>
          <w:tcPr>
            <w:tcW w:type="dxa" w:w="4750"/>
          </w:tcPr>
          <w:p>
            <w:r>
              <w:rPr>
                <w:b w:val="false"/>
                <w:bCs w:val="false"/>
              </w:rPr>
              <w:t xml:space="preserve">Standard AuditableEntity-style timestamp; no iInsertedUserId — creation is a system concern, matching Users</w:t>
            </w:r>
          </w:p>
        </w:tc>
      </w:tr>
    </w:tbl>
    <w:p>
      <w:pPr>
        <w:pStyle w:val="ListParagraph"/>
        <w:numPr>
          <w:ilvl w:val="0"/>
          <w:numId w:val="2"/>
        </w:numPr>
        <w:spacing w:after="60"/>
      </w:pPr>
      <w:r>
        <w:t xml:space="preserve">UNIQUE (sProvider, sProviderKey) — prevents two local users from being linked to the same external account.</w:t>
      </w:r>
    </w:p>
    <w:p>
      <w:pPr>
        <w:pStyle w:val="ListParagraph"/>
        <w:numPr>
          <w:ilvl w:val="0"/>
          <w:numId w:val="2"/>
        </w:numPr>
        <w:spacing w:after="60"/>
      </w:pPr>
      <w:r>
        <w:t xml:space="preserve">UNIQUE (iUserId, sProvider) — one linked account per provider per user.</w:t>
      </w:r>
    </w:p>
    <w:p>
      <w:pPr>
        <w:spacing w:after="160"/>
      </w:pPr>
      <w:r>
        <w:t xml:space="preserve">Users.PasswordHash (sPasswordHash) is nullable — a user created purely through Google sign-in never sets a local password. Its Id column was also renamed to iId as part of the same migration, to fix a pre-existing gap against the "every column gets a type prefix" convention (CLAUDE.md) that predated this feature.</w:t>
      </w:r>
    </w:p>
    <w:p>
      <w:pPr>
        <w:pStyle w:val="Heading2"/>
        <w:spacing w:after="120" w:before="260"/>
      </w:pPr>
      <w:r>
        <w:t xml:space="preserve">7.2 Provisioning algorithm (runs on every successful Google callback)</w:t>
      </w:r>
    </w:p>
    <w:p>
      <w:pPr>
        <w:pStyle w:val="ListParagraph"/>
        <w:numPr>
          <w:ilvl w:val="0"/>
          <w:numId w:val="3"/>
        </w:numPr>
        <w:spacing w:after="80"/>
      </w:pPr>
      <w:r>
        <w:t xml:space="preserve">Look up identity.ExternalLogins by (Provider = "Google", ProviderKey = sub). If found, resolve to that User and continue to the IsActive check (Section 5.3) — this is a normal repeat sign-in.</w:t>
      </w:r>
    </w:p>
    <w:p>
      <w:pPr>
        <w:pStyle w:val="ListParagraph"/>
        <w:numPr>
          <w:ilvl w:val="0"/>
          <w:numId w:val="3"/>
        </w:numPr>
        <w:spacing w:after="80"/>
      </w:pPr>
      <w:r>
        <w:t xml:space="preserve">Not found: check the email_verified claim from Google. If false, reject the sign-in outright (redirect to /auth-error) — an unverified email must never be trusted for matching or account creation.</w:t>
      </w:r>
    </w:p>
    <w:p>
      <w:pPr>
        <w:pStyle w:val="ListParagraph"/>
        <w:numPr>
          <w:ilvl w:val="0"/>
          <w:numId w:val="3"/>
        </w:numPr>
        <w:spacing w:after="80"/>
      </w:pPr>
      <w:r>
        <w:t xml:space="preserve">Email verified: look up Users by Email (case-insensitive).</w:t>
      </w:r>
    </w:p>
    <w:p>
      <w:pPr>
        <w:pStyle w:val="ListParagraph"/>
        <w:numPr>
          <w:ilvl w:val="0"/>
          <w:numId w:val="3"/>
        </w:numPr>
        <w:spacing w:after="80"/>
      </w:pPr>
      <w:r>
        <w:t xml:space="preserve">Email match found (e.g. the seeded admin, previously local-password-only): automatically create the ExternalLogins row linking this Google account to the existing user — this is account linking, not new-user creation, so it happens even if self-registration is disabled below.</w:t>
      </w:r>
    </w:p>
    <w:p>
      <w:pPr>
        <w:pStyle w:val="ListParagraph"/>
        <w:numPr>
          <w:ilvl w:val="0"/>
          <w:numId w:val="3"/>
        </w:numPr>
        <w:spacing w:after="80"/>
      </w:pPr>
      <w:r>
        <w:t xml:space="preserve">No email match: check the config flag Identity:AllowSelfRegistrationViaGoogle. If true, create a new User (Username generated as google_&lt;local-part-of-email&gt;, Email/DisplayName from the Google profile, PasswordHash = null, IsActive = true) plus the linking ExternalLogins row. If false, reject and redirect to /auth-error?reason=registration_disabled — the system will not admit users it doesn't already know about.</w:t>
      </w:r>
    </w:p>
    <w:p>
      <w:pPr>
        <w:pStyle w:val="Heading2"/>
        <w:spacing w:after="120" w:before="260"/>
      </w:pPr>
      <w:r>
        <w:t xml:space="preserve">7.3 Feature flag placeholder</w:t>
      </w:r>
    </w:p>
    <w:p>
      <w:pPr>
        <w:spacing w:after="160"/>
      </w:pPr>
      <w:r>
        <w:t xml:space="preserve">Identity:AllowSelfRegistrationViaGoogle is read through ConfigurationUserRegistrationPolicy (IUserRegistrationPolicy), a narrow seam so it can be re-pointed at Flagsmith later without touching the provisioning logic itself. Defaults to true in appsettings.json — there's no admin UI yet to pre-create accounts, so defaulting to false would lock out every user including first-time dev testing.</w:t>
      </w:r>
    </w:p>
    <w:p>
      <w:pPr>
        <w:pStyle w:val="Heading1"/>
        <w:spacing w:after="160" w:before="320"/>
      </w:pPr>
      <w:r>
        <w:t xml:space="preserve">8. Bff Endpoint Contract</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400"/>
        <w:gridCol w:w="2350"/>
      </w:tblGrid>
      <w:tr>
        <w:tc>
          <w:tcPr>
            <w:tcW w:type="dxa" w:w="1300"/>
            <w:shd w:fill="E7E6E6" w:val="clear"/>
          </w:tcPr>
          <w:p>
            <w:r>
              <w:rPr>
                <w:b/>
                <w:bCs/>
              </w:rPr>
              <w:t xml:space="preserve">Method</w:t>
            </w:r>
          </w:p>
        </w:tc>
        <w:tc>
          <w:tcPr>
            <w:tcW w:type="dxa" w:w="2400"/>
            <w:shd w:fill="E7E6E6" w:val="clear"/>
          </w:tcPr>
          <w:p>
            <w:r>
              <w:rPr>
                <w:b/>
                <w:bCs/>
              </w:rPr>
              <w:t xml:space="preserve">Path</w:t>
            </w:r>
          </w:p>
        </w:tc>
        <w:tc>
          <w:tcPr>
            <w:tcW w:type="dxa" w:w="3400"/>
            <w:shd w:fill="E7E6E6" w:val="clear"/>
          </w:tcPr>
          <w:p>
            <w:r>
              <w:rPr>
                <w:b/>
                <w:bCs/>
              </w:rPr>
              <w:t xml:space="preserve">Purpose</w:t>
            </w:r>
          </w:p>
        </w:tc>
        <w:tc>
          <w:tcPr>
            <w:tcW w:type="dxa" w:w="2350"/>
            <w:shd w:fill="E7E6E6" w:val="clear"/>
          </w:tcPr>
          <w:p>
            <w:r>
              <w:rPr>
                <w:b/>
                <w:bCs/>
              </w:rPr>
              <w:t xml:space="preserve">Response</w:t>
            </w:r>
          </w:p>
        </w:tc>
      </w:tr>
      <w:tr>
        <w:tc>
          <w:tcPr>
            <w:tcW w:type="dxa" w:w="1300"/>
          </w:tcPr>
          <w:p>
            <w:r>
              <w:rPr>
                <w:b w:val="false"/>
                <w:bCs w:val="false"/>
              </w:rPr>
              <w:t xml:space="preserve">GET</w:t>
            </w:r>
          </w:p>
        </w:tc>
        <w:tc>
          <w:tcPr>
            <w:tcW w:type="dxa" w:w="2400"/>
          </w:tcPr>
          <w:p>
            <w:r>
              <w:rPr>
                <w:rFonts w:ascii="Consolas" w:cs="Consolas" w:eastAsia="Consolas" w:hAnsi="Consolas"/>
                <w:b w:val="false"/>
                <w:bCs w:val="false"/>
                <w:sz w:val="20"/>
                <w:szCs w:val="20"/>
              </w:rPr>
              <w:t xml:space="preserve">/bff/login?returnUrl=</w:t>
            </w:r>
          </w:p>
        </w:tc>
        <w:tc>
          <w:tcPr>
            <w:tcW w:type="dxa" w:w="3400"/>
          </w:tcPr>
          <w:p>
            <w:r>
              <w:rPr>
                <w:b w:val="false"/>
                <w:bCs w:val="false"/>
              </w:rPr>
              <w:t xml:space="preserve">Start Google OAuth challenge. Triggered by a full-page navigation (window.location.href), not a fetch call. returnUrl is validated as a safe relative path before use.</w:t>
            </w:r>
          </w:p>
        </w:tc>
        <w:tc>
          <w:tcPr>
            <w:tcW w:type="dxa" w:w="2350"/>
          </w:tcPr>
          <w:p>
            <w:r>
              <w:rPr>
                <w:b w:val="false"/>
                <w:bCs w:val="false"/>
              </w:rPr>
              <w:t xml:space="preserve">302 -&gt; Google</w:t>
            </w:r>
          </w:p>
        </w:tc>
      </w:tr>
      <w:tr>
        <w:tc>
          <w:tcPr>
            <w:tcW w:type="dxa" w:w="1300"/>
          </w:tcPr>
          <w:p>
            <w:r>
              <w:rPr>
                <w:b w:val="false"/>
                <w:bCs w:val="false"/>
              </w:rPr>
              <w:t xml:space="preserve">GET</w:t>
            </w:r>
          </w:p>
        </w:tc>
        <w:tc>
          <w:tcPr>
            <w:tcW w:type="dxa" w:w="2400"/>
          </w:tcPr>
          <w:p>
            <w:r>
              <w:rPr>
                <w:rFonts w:ascii="Consolas" w:cs="Consolas" w:eastAsia="Consolas" w:hAnsi="Consolas"/>
                <w:b w:val="false"/>
                <w:bCs w:val="false"/>
                <w:sz w:val="20"/>
                <w:szCs w:val="20"/>
              </w:rPr>
              <w:t xml:space="preserve">/signin-google</w:t>
            </w:r>
          </w:p>
        </w:tc>
        <w:tc>
          <w:tcPr>
            <w:tcW w:type="dxa" w:w="3400"/>
          </w:tcPr>
          <w:p>
            <w:r>
              <w:rPr>
                <w:b w:val="false"/>
                <w:bCs w:val="false"/>
              </w:rPr>
              <w:t xml:space="preserve">OAuth callback (fixed path). Calls /internal/identity/google-provision, then replaces the NameIdentifier claim with the resolved internal UserId.</w:t>
            </w:r>
          </w:p>
        </w:tc>
        <w:tc>
          <w:tcPr>
            <w:tcW w:type="dxa" w:w="2350"/>
          </w:tcPr>
          <w:p>
            <w:r>
              <w:rPr>
                <w:b w:val="false"/>
                <w:bCs w:val="false"/>
              </w:rPr>
              <w:t xml:space="preserve">302 -&gt; Angular returnUrl, or /auth-error?reason=...</w:t>
            </w:r>
          </w:p>
        </w:tc>
      </w:tr>
      <w:tr>
        <w:tc>
          <w:tcPr>
            <w:tcW w:type="dxa" w:w="1300"/>
          </w:tcPr>
          <w:p>
            <w:r>
              <w:rPr>
                <w:b w:val="false"/>
                <w:bCs w:val="false"/>
              </w:rPr>
              <w:t xml:space="preserve">POST</w:t>
            </w:r>
          </w:p>
        </w:tc>
        <w:tc>
          <w:tcPr>
            <w:tcW w:type="dxa" w:w="2400"/>
          </w:tcPr>
          <w:p>
            <w:r>
              <w:rPr>
                <w:rFonts w:ascii="Consolas" w:cs="Consolas" w:eastAsia="Consolas" w:hAnsi="Consolas"/>
                <w:b w:val="false"/>
                <w:bCs w:val="false"/>
                <w:sz w:val="20"/>
                <w:szCs w:val="20"/>
              </w:rPr>
              <w:t xml:space="preserve">/bff/logout</w:t>
            </w:r>
          </w:p>
        </w:tc>
        <w:tc>
          <w:tcPr>
            <w:tcW w:type="dxa" w:w="3400"/>
          </w:tcPr>
          <w:p>
            <w:r>
              <w:rPr>
                <w:b w:val="false"/>
                <w:bCs w:val="false"/>
              </w:rPr>
              <w:t xml:space="preserve">Clear the session cookie.</w:t>
            </w:r>
          </w:p>
        </w:tc>
        <w:tc>
          <w:tcPr>
            <w:tcW w:type="dxa" w:w="2350"/>
          </w:tcPr>
          <w:p>
            <w:r>
              <w:rPr>
                <w:b w:val="false"/>
                <w:bCs w:val="false"/>
              </w:rPr>
              <w:t xml:space="preserve">204 No Content</w:t>
            </w:r>
          </w:p>
        </w:tc>
      </w:tr>
      <w:tr>
        <w:tc>
          <w:tcPr>
            <w:tcW w:type="dxa" w:w="1300"/>
          </w:tcPr>
          <w:p>
            <w:r>
              <w:rPr>
                <w:b w:val="false"/>
                <w:bCs w:val="false"/>
              </w:rPr>
              <w:t xml:space="preserve">GET</w:t>
            </w:r>
          </w:p>
        </w:tc>
        <w:tc>
          <w:tcPr>
            <w:tcW w:type="dxa" w:w="2400"/>
          </w:tcPr>
          <w:p>
            <w:r>
              <w:rPr>
                <w:rFonts w:ascii="Consolas" w:cs="Consolas" w:eastAsia="Consolas" w:hAnsi="Consolas"/>
                <w:b w:val="false"/>
                <w:bCs w:val="false"/>
                <w:sz w:val="20"/>
                <w:szCs w:val="20"/>
              </w:rPr>
              <w:t xml:space="preserve">/bff/me</w:t>
            </w:r>
          </w:p>
        </w:tc>
        <w:tc>
          <w:tcPr>
            <w:tcW w:type="dxa" w:w="3400"/>
          </w:tcPr>
          <w:p>
            <w:r>
              <w:rPr>
                <w:b w:val="false"/>
                <w:bCs w:val="false"/>
              </w:rPr>
              <w:t xml:space="preserve">Current session/user info, used for header display and route guards.</w:t>
            </w:r>
          </w:p>
        </w:tc>
        <w:tc>
          <w:tcPr>
            <w:tcW w:type="dxa" w:w="2350"/>
          </w:tcPr>
          <w:p>
            <w:r>
              <w:rPr>
                <w:b w:val="false"/>
                <w:bCs w:val="false"/>
              </w:rPr>
              <w:t xml:space="preserve">200 { userId, email, displayName } or 401</w:t>
            </w:r>
          </w:p>
        </w:tc>
      </w:tr>
    </w:tbl>
    <w:p>
      <w:pPr>
        <w:pBdr>
          <w:left w:val="single" w:color="999999" w:sz="12" w:space="8"/>
        </w:pBdr>
        <w:spacing w:after="160"/>
        <w:ind w:left="100"/>
      </w:pPr>
      <w:r>
        <w:rPr>
          <w:b/>
          <w:bCs/>
        </w:rPr>
        <w:t xml:space="preserve">Note: </w:t>
      </w:r>
      <w:r>
        <w:t xml:space="preserve">/bff/login and /signin-google are full-page browser navigations and are not proxied through Angular's dev-server config — the browser talks to the Bff (and Google) directly by address-bar navigation. /bff/logout and /bff/me are fetch calls made from Angular's own JavaScript and rely on the same-origin proxy described in Section 5.1.</w:t>
      </w:r>
    </w:p>
    <w:p>
      <w:pPr>
        <w:pBdr>
          <w:left w:val="single" w:color="999999" w:sz="12" w:space="8"/>
        </w:pBdr>
        <w:spacing w:after="160"/>
        <w:ind w:left="100"/>
      </w:pPr>
      <w:r>
        <w:rPr>
          <w:b/>
          <w:bCs/>
        </w:rPr>
        <w:t xml:space="preserve">Security: </w:t>
      </w:r>
      <w:r>
        <w:t xml:space="preserve">/bff/logout needs no separate anti-forgery token: the SameSite=Lax, same-origin cookie already prevents a third-party site from triggering this POST with the user's session attached.</w:t>
      </w:r>
    </w:p>
    <w:p>
      <w:pPr>
        <w:pBdr>
          <w:left w:val="single" w:color="999999" w:sz="12" w:space="8"/>
        </w:pBdr>
        <w:spacing w:after="160"/>
        <w:ind w:left="100"/>
      </w:pPr>
      <w:r>
        <w:rPr>
          <w:b/>
          <w:bCs/>
        </w:rPr>
        <w:t xml:space="preserve">Implementation: </w:t>
      </w:r>
      <w:r>
        <w:t xml:space="preserve">OnRedirectToLogin/OnRedirectToAccessDenied are overridden on the cookie scheme to return plain 401/403 status codes instead of the default redirect-to-login-page behavior — required for /bff/me and /bff/logout to match this contract instead of issuing a 302.</w:t>
      </w:r>
    </w:p>
    <w:p>
      <w:pPr>
        <w:pStyle w:val="Heading1"/>
        <w:spacing w:after="160" w:before="320"/>
      </w:pPr>
      <w:r>
        <w:t xml:space="preserve">9. Implementation Roadmap</w:t>
      </w:r>
    </w:p>
    <w:p>
      <w:pPr>
        <w:pStyle w:val="ListParagraph"/>
        <w:numPr>
          <w:ilvl w:val="0"/>
          <w:numId w:val="2"/>
        </w:numPr>
        <w:spacing w:after="60"/>
      </w:pPr>
      <w:r>
        <w:t xml:space="preserve">Step 1 — Google Cloud Console: OAuth consent screen, scopes, test users, Client ID. Complete.</w:t>
      </w:r>
    </w:p>
    <w:p>
      <w:pPr>
        <w:pStyle w:val="ListParagraph"/>
        <w:numPr>
          <w:ilvl w:val="0"/>
          <w:numId w:val="2"/>
        </w:numPr>
        <w:spacing w:after="60"/>
      </w:pPr>
      <w:r>
        <w:t xml:space="preserve">Step 2 — This design document. Complete.</w:t>
      </w:r>
    </w:p>
    <w:p>
      <w:pPr>
        <w:pStyle w:val="ListParagraph"/>
        <w:numPr>
          <w:ilvl w:val="0"/>
          <w:numId w:val="2"/>
        </w:numPr>
        <w:spacing w:after="60"/>
      </w:pPr>
      <w:r>
        <w:t xml:space="preserve">Step 3 — OCRWeb.Identity: Application layer, ExternalLogins entity/table + migration, nullable PasswordHash, provisioning command handler + IsUserActive query. Complete.</w:t>
      </w:r>
    </w:p>
    <w:p>
      <w:pPr>
        <w:pStyle w:val="ListParagraph"/>
        <w:numPr>
          <w:ilvl w:val="0"/>
          <w:numId w:val="2"/>
        </w:numPr>
        <w:spacing w:after="60"/>
      </w:pPr>
      <w:r>
        <w:t xml:space="preserve">Step 4 — OCRWeb.Bff: Google + cookie authentication wiring, /bff/login, /bff/logout, /bff/me, RS256 internal token issuance, OnValidatePrincipal revalidation. Complete.</w:t>
      </w:r>
    </w:p>
    <w:p>
      <w:pPr>
        <w:pStyle w:val="ListParagraph"/>
        <w:numPr>
          <w:ilvl w:val="0"/>
          <w:numId w:val="2"/>
        </w:numPr>
        <w:spacing w:after="60"/>
      </w:pPr>
      <w:r>
        <w:t xml:space="preserve">Step 5 — OCRWeb.API: replaced the CurrentUser stub with identity validated from the internal RS256 token; removed the admin-id fallback; all existing Document.Api endpoints now require the JWT bearer scheme. Complete.</w:t>
      </w:r>
    </w:p>
    <w:p>
      <w:pPr>
        <w:pStyle w:val="ListParagraph"/>
        <w:numPr>
          <w:ilvl w:val="0"/>
          <w:numId w:val="2"/>
        </w:numPr>
        <w:spacing w:after="60"/>
      </w:pPr>
      <w:r>
        <w:t xml:space="preserve">Step 6 — OCRWeb.Frontend: scaffolded the Angular project (ng new, Angular Material, proxy.conf.json same-origin dev proxy). Complete.</w:t>
      </w:r>
    </w:p>
    <w:p>
      <w:pPr>
        <w:pStyle w:val="ListParagraph"/>
        <w:numPr>
          <w:ilvl w:val="0"/>
          <w:numId w:val="2"/>
        </w:numPr>
        <w:spacing w:after="60"/>
      </w:pPr>
      <w:r>
        <w:t xml:space="preserve">Step 7 — Frontend: AuthService, route guard, session-aware header, /auth-error page. Complete — project list / upload / workspace screens remain (blocked on OCRWeb.ProjectManagement).</w:t>
      </w:r>
    </w:p>
    <w:p>
      <w:pPr>
        <w:pStyle w:val="ListParagraph"/>
        <w:numPr>
          <w:ilvl w:val="0"/>
          <w:numId w:val="2"/>
        </w:numPr>
        <w:spacing w:after="60"/>
      </w:pPr>
      <w:r>
        <w:t xml:space="preserve">Step 8 — Updated development-plan.docx and ChangeLogs.txt. Complete (this pass).</w:t>
      </w:r>
    </w:p>
    <w:p>
      <w:pPr>
        <w:pBdr>
          <w:left w:val="single" w:color="999999" w:sz="12" w:space="8"/>
        </w:pBdr>
        <w:spacing w:after="160"/>
        <w:ind w:left="100"/>
      </w:pPr>
      <w:r>
        <w:rPr>
          <w:b/>
          <w:bCs/>
        </w:rPr>
        <w:t xml:space="preserve">Remaining: </w:t>
      </w:r>
      <w:r>
        <w:t xml:space="preserve">Frontend screens beyond the auth shell (project list, new-project-from-PDF, workspace) are tracked in Design.md, not here — they depend on OCRWeb.ProjectManagement (still Planned per development-plan.docx §4.5).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2026-07-18T13:58:16.385Z</dcterms:created>
  <dcterms:modified xsi:type="dcterms:W3CDTF">2026-07-18T13:58:16.385Z</dcterms:modified>
</cp:coreProperties>
</file>

<file path=docProps/custom.xml><?xml version="1.0" encoding="utf-8"?>
<Properties xmlns="http://schemas.openxmlformats.org/officeDocument/2006/custom-properties" xmlns:vt="http://schemas.openxmlformats.org/officeDocument/2006/docPropsVTypes"/>
</file>