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Diagnostics Transaction Logging — Automatic Context Enrichment</w:t>
      </w:r>
    </w:p>
    <w:p>
      <w:pPr>
        <w:spacing w:after="160"/>
      </w:pPr>
      <w:r>
        <w:rPr>
          <w:i/>
          <w:iCs/>
        </w:rPr>
        <w:t xml:space="preserve">Companion note to docs/diagnostics-logging-design.md. Documents the RequestContextTransactionLogger decorator added to OCRWeb.API, and gives a field-by-field reference for what the Diagnostics.* logging library already populates automatically versus what callers must still set explicitly.</w:t>
      </w:r>
    </w:p>
    <w:p>
      <w:pPr>
        <w:pStyle w:val="Heading1"/>
        <w:spacing w:after="160" w:before="340"/>
      </w:pPr>
      <w:r>
        <w:t xml:space="preserve">1. Background</w:t>
      </w:r>
    </w:p>
    <w:p>
      <w:pPr>
        <w:spacing w:after="160"/>
      </w:pPr>
      <w:r>
        <w:t xml:space="preserve">While implementing ProvisionGoogleUserCommandHandler (OCRWeb.Identity, part of the Google sign-in feature) it became clear that every MediatR command handler opening a transaction scope would otherwise need to call scope.SetUser(...) and scope.SetUrl(...) by hand. A small decorator was added at the OCRWeb.API composition root instead, so this happens automatically for every handler in the application, not just this one.</w:t>
      </w:r>
    </w:p>
    <w:p>
      <w:pPr>
        <w:pStyle w:val="Heading1"/>
        <w:spacing w:after="160" w:before="340"/>
      </w:pPr>
      <w:r>
        <w:t xml:space="preserve">2. What 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Diagnostics.NLog/DependencyInjection/ServiceCollectionExtensions.cs — AddDiagnostics now also registers the concrete TransactionLoggerImplementation type (previously only the ITransactionLogger interface was resolvable), so it can be wrapped.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OCRWeb.API/Infrastructure/RequestContextTransactionLogger.cs (new) — decorates ITransactionLogger; on every BeginTransaction call it stamps the returned scope with the current user (ICurrentUser) and the current request's URL (IHttpContextAccessor).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OCRWeb.API/Program.cs — registers RequestContextTransactionLogger as a scoped override of ITransactionLogger, added after AddDiagnostics(...) so it wins resolution.</w:t>
      </w:r>
    </w:p>
    <w:p>
      <w:pPr>
        <w:pStyle w:val="Heading2"/>
        <w:spacing w:after="120" w:before="260"/>
      </w:pPr>
      <w:r>
        <w:t xml:space="preserve">2.1 Why scoped, not singleton</w:t>
      </w:r>
    </w:p>
    <w:p>
      <w:pPr>
        <w:spacing w:after="160"/>
      </w:pPr>
      <w:r>
        <w:t xml:space="preserve">ICurrentUser is registered AddScoped (one instance per HTTP request). ITransactionLogger was AddSingleton. A singleton decorator would capture whichever request's ICurrentUser happened to build it first and reuse that value forever. The decorator is registered AddScoped so it resolves a fresh ICurrentUser/IHttpContextAccessor value on every request.</w:t>
      </w:r>
    </w:p>
    <w:p>
      <w:pPr>
        <w:pStyle w:val="Heading1"/>
        <w:spacing w:after="160" w:before="340"/>
      </w:pPr>
      <w:r>
        <w:t xml:space="preserve">3. Field reference — [dbo].[Transactions]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50"/>
      </w:tblGrid>
      <w:tr>
        <w:tc>
          <w:tcPr>
            <w:tcW w:type="dxa" w:w="2400"/>
            <w:shd w:fill="E7E6E6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600"/>
            <w:shd w:fill="E7E6E6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5350"/>
            <w:shd w:fill="E7E6E6" w:val="clear"/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Guid.NewGuid() when the scope is opened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sParentId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Read from the ambient CorrelationContext — knows automatically if it is nested inside another open scope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iEnvironmentId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Resolved once from DiagnosticsOptions at startup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iCategoryId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Resolved from the category string passed to BeginTransaction(category, ...)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sCorrelationId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Ambient for the whole logical request — from the inbound X-Correlation-ID header, or generated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dtStartTime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DateTime.UtcNow when the scope is constructed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iDuration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Stopwatch, measured automatically until Dispose()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sUrl / sBaseUrl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 (new)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RequestContextTransactionLogger decorator, sourced from IHttpContextAccessor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sUser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 (new)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RequestContextTransactionLogger decorator, sourced from ICurrentUser — callers may still overwrite it later in the same scope once a more specific user is known (see Section 4)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sMessage</w:t>
            </w:r>
          </w:p>
        </w:tc>
        <w:tc>
          <w:tcPr>
            <w:tcW w:type="dxa" w:w="1600"/>
            <w:shd w:fill="FCE4D6" w:val="clear"/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Optional message param on BeginTransaction, or SetMessage() — operation-specific, cannot be inferred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sCustomAttributes</w:t>
            </w:r>
          </w:p>
        </w:tc>
        <w:tc>
          <w:tcPr>
            <w:tcW w:type="dxa" w:w="1600"/>
            <w:shd w:fill="FCE4D6" w:val="clear"/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SetCustomAttribute(key, value) — arbitrary, business-specific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sSql</w:t>
            </w:r>
          </w:p>
        </w:tc>
        <w:tc>
          <w:tcPr>
            <w:tcW w:type="dxa" w:w="1600"/>
            <w:shd w:fill="FCE4D6" w:val="clear"/>
          </w:tcPr>
          <w:p>
            <w:r>
              <w:rPr>
                <w:b w:val="false"/>
                <w:bCs w:val="false"/>
              </w:rPr>
              <w:t xml:space="preserve">Manual (opt-in)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SetSql(sql) — deliberately explicit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Request*/Response* (Json/Xml/Text)</w:t>
            </w:r>
          </w:p>
        </w:tc>
        <w:tc>
          <w:tcPr>
            <w:tcW w:type="dxa" w:w="1600"/>
            <w:shd w:fill="FCE4D6" w:val="clear"/>
          </w:tcPr>
          <w:p>
            <w:r>
              <w:rPr>
                <w:b w:val="false"/>
                <w:bCs w:val="false"/>
              </w:rPr>
              <w:t xml:space="preserve">Manual (opt-in)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RequestJson/Xml/Text, ResponseJson/Xml/Text — never automatic by design (see design doc §3)</w:t>
            </w:r>
          </w:p>
        </w:tc>
      </w:tr>
    </w:tbl>
    <w:p>
      <w:pPr>
        <w:pStyle w:val="Heading1"/>
        <w:spacing w:after="160" w:before="340"/>
      </w:pPr>
      <w:r>
        <w:t xml:space="preserve">4. Field reference — [dbo].[Logs]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50"/>
      </w:tblGrid>
      <w:tr>
        <w:tc>
          <w:tcPr>
            <w:tcW w:type="dxa" w:w="2400"/>
            <w:shd w:fill="E7E6E6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600"/>
            <w:shd w:fill="E7E6E6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5350"/>
            <w:shd w:fill="E7E6E6" w:val="clear"/>
          </w:tcPr>
          <w:p>
            <w:r>
              <w:rPr>
                <w:b/>
                <w:bCs/>
              </w:rPr>
              <w:t xml:space="preserve">Source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sTransactionId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Inherited from the ambient transaction, if a scope is open when the log line is written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iEnvironmentId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Same environment resolution as Transactions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iCategoryId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Inherited from the ambient transaction's category, or the CategoryNames.None guardrail if no scope is open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sCorrelationId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Same ambient correlation id as Transactions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dtTimeLogged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NLog's own event timestamp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sSeverity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From which ILogger.LogXxx(...) method was called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sMessage / sException</w:t>
            </w:r>
          </w:p>
        </w:tc>
        <w:tc>
          <w:tcPr>
            <w:tcW w:type="dxa" w:w="1600"/>
            <w:shd w:fill="FCE4D6" w:val="clear"/>
          </w:tcPr>
          <w:p>
            <w:r>
              <w:rPr>
                <w:b w:val="false"/>
                <w:bCs w:val="false"/>
              </w:rPr>
              <w:t xml:space="preserve">Manual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From the ILogger call's own arguments — inherently per-call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sUser</w:t>
            </w:r>
          </w:p>
        </w:tc>
        <w:tc>
          <w:tcPr>
            <w:tcW w:type="dxa" w:w="1600"/>
            <w:shd w:fill="FCE4D6" w:val="clear"/>
          </w:tcPr>
          <w:p>
            <w:r>
              <w:rPr>
                <w:b w:val="false"/>
                <w:bCs w:val="false"/>
              </w:rPr>
              <w:t xml:space="preserve">Not automatic (gap)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Only populated if the ILogger call carries a structured property literally named "User" — LogsTarget.cs line ~117. The Transactions decorator (Section 3) does not affect this; a separate mechanism (e.g. logger.BeginScope with a "User" key at a chokepoint) would be needed. Not yet built — see Section 5.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sCustomAttributes</w:t>
            </w:r>
          </w:p>
        </w:tc>
        <w:tc>
          <w:tcPr>
            <w:tcW w:type="dxa" w:w="1600"/>
            <w:shd w:fill="D9EAD3" w:val="clear"/>
          </w:tcPr>
          <w:p>
            <w:r>
              <w:rPr>
                <w:b w:val="false"/>
                <w:bCs w:val="false"/>
              </w:rPr>
              <w:t xml:space="preserve">Auto (partial)</w:t>
            </w:r>
          </w:p>
        </w:tc>
        <w:tc>
          <w:tcPr>
            <w:tcW w:type="dxa" w:w="5350"/>
          </w:tcPr>
          <w:p>
            <w:r>
              <w:rPr>
                <w:b w:val="false"/>
                <w:bCs w:val="false"/>
              </w:rPr>
              <w:t xml:space="preserve">LoggerName is always included; any other structured properties an application passes into an ILogger call are captured too</w:t>
            </w:r>
          </w:p>
        </w:tc>
      </w:tr>
    </w:tbl>
    <w:p>
      <w:pPr>
        <w:pStyle w:val="Heading1"/>
        <w:spacing w:after="160" w:before="340"/>
      </w:pPr>
      <w:r>
        <w:t xml:space="preserve">5. Known gap: sUser on line logs</w:t>
      </w:r>
    </w:p>
    <w:p>
      <w:pPr>
        <w:spacing w:after="160"/>
      </w:pPr>
      <w:r>
        <w:t xml:space="preserve">The decorator in Section 2 only affects Transaction scopes. A plain ILogger.LogInformation/LogWarning/etc. call has no equivalent automatic user — Diagnostics.Abstractions.ICorrelationContext deliberately only tracks correlation id / transaction id / category, not user.</w:t>
      </w:r>
    </w:p>
    <w:p>
      <w:pPr>
        <w:spacing w:after="160"/>
      </w:pPr>
      <w:r>
        <w:t xml:space="preserve">To close this gap, a future change could call logger.BeginScope(new Dictionary&lt;string, object&gt; { ["User"] = ... }) once per request (e.g. from ASP.NET Core middleware, alongside where the user becomes known), so every line log written during that request inherits it — mirroring how transaction id/category already flow into log lines today. Not implemented as of this note; left for a follow-up since it does not block the Google sign-in feature.</w:t>
      </w:r>
    </w:p>
    <w:p>
      <w:pPr>
        <w:pStyle w:val="Heading1"/>
        <w:spacing w:after="160" w:before="340"/>
      </w:pPr>
      <w:r>
        <w:t xml:space="preserve">6. Guidance for handler authors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no longer need to call scope.SetUser(...) or scope.SetUrl(...) yourself under normal request handling — the decorator already did it before your handler code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Exception: handlers that determine identity as part of their own job (e.g. ProvisionGoogleUserCommandHandler during a Google OAuth callback, before any session cookie exists) will see the decorator's initial SetUser value be a fallback/stub, because ICurrentUser has nothing real to report yet. Such handlers should still call transaction.SetUser(...) themselves once they resolve the real user — that call overwrites the decorator's earlier placeholder value on the same scope.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sUser on individual line logs (Section 4) is still not automatic; pass it explicitly via a structured {User} property if a specific log line needs it, until the BeginScope follow-up (Section 5) lands.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2026-07-18T04:22:34.492Z</dcterms:created>
  <dcterms:modified xsi:type="dcterms:W3CDTF">2026-07-18T04:22:34.493Z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