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â€”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 Identity, cookie/Google-OAuth auth, and the /bff/* routes now come from the OrangepuffPortal.Host NuGet package (published from the sibling orangepuffportal repo, itself originally extracted from this project's former OCRWeb.Identity/OCRWeb.Bff/OCRWeb.Shared) rather than in-repo projects -- this collapsed OCRWeb from two processes (API + Bff talking over an internal RS256 JWT hop) into one.</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â€”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Removed</w:t>
      </w:r>
    </w:p>
    <w:p>
      <w:pPr>
        <w:spacing w:after="140"/>
      </w:pPr>
      <w:r>
        <w:t xml:space="preserve">Removed: superseded by the OrangepuffPortal.Shared NuGet package (published from the sibling orangepuffportal repo, itself originally extracted from this project). Every module that used to reference OCRWeb.Shared (OCRWeb.Document, OCRWeb.ProjectManagement, OCRWeb.OCR) now takes a PackageReference on OrangepuffPortal.Shared instead.</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Removed</w:t>
      </w:r>
    </w:p>
    <w:p>
      <w:pPr>
        <w:spacing w:after="140"/>
      </w:pPr>
      <w:r>
        <w:t xml:space="preserve">Removed: superseded by the OrangepuffPortal.Identity package (part of OrangepuffPortal.Host), which now owns the identity schema, the Users/ExternalLogins/SecurityRuleCategory/SecurityRuleItems/SecurityUserRuleItems tables, and Google sign-in provisioning. See the sibling orangepuffportal repo for the current design record.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Entity/SecurityRuleCategory, Entity/SecurityRuleItem, Entity/SecurityUserRuleItem; Enums/RuleType; Repositories/IUserRepository, ISecurityRuleCategoryRepository, ISecurityRuleItemRepository, ISecurityUserRuleItemRepository;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AddUser, UpdateUser, DeleteUser, AddSecurityRuleCategory, UpdateSecurityRuleCategory, DeleteSecurityRuleCategory, AddSecurityRuleItem, UpdateSecurityRuleItem, DeleteSecurityRuleItem;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SecurityRuleCategory, SecurityRuleItem, SecurityUserRuleItem); Repositories; ConfigurationUserRegistrationPolicy; Seeding (UserDbSeeder + SeedOptions); DesignTimeDbContextFactory; ModuleRegistration</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â€”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btIsTemplateUser</w:t>
            </w:r>
          </w:p>
        </w:tc>
        <w:tc>
          <w:tcPr>
            <w:tcW w:type="dxa" w:w="2000"/>
          </w:tcPr>
          <w:p>
            <w:r>
              <w:rPr>
                <w:b w:val="false"/>
                <w:bCs w:val="false"/>
              </w:rPr>
              <w:t xml:space="preserve">bit</w:t>
            </w:r>
          </w:p>
        </w:tc>
        <w:tc>
          <w:tcPr>
            <w:tcW w:type="dxa" w:w="5350"/>
          </w:tcPr>
          <w:p>
            <w:r>
              <w:rPr>
                <w:b w:val="false"/>
                <w:bCs w:val="false"/>
              </w:rPr>
              <w:t xml:space="preserve">default 0; marks this user reusable as a permission template for other users</w:t>
            </w:r>
          </w:p>
        </w:tc>
      </w:tr>
      <w:tr>
        <w:tc>
          <w:tcPr>
            <w:tcW w:type="dxa" w:w="2000"/>
          </w:tcPr>
          <w:p>
            <w:r>
              <w:rPr>
                <w:rFonts w:ascii="Consolas" w:cs="Consolas" w:eastAsia="Consolas" w:hAnsi="Consolas"/>
                <w:b w:val="false"/>
                <w:bCs w:val="false"/>
                <w:sz w:val="20"/>
                <w:szCs w:val="20"/>
              </w:rPr>
              <w:t xml:space="preserve">iParentId</w:t>
            </w:r>
          </w:p>
        </w:tc>
        <w:tc>
          <w:tcPr>
            <w:tcW w:type="dxa" w:w="2000"/>
          </w:tcPr>
          <w:p>
            <w:r>
              <w:rPr>
                <w:b w:val="false"/>
                <w:bCs w:val="false"/>
              </w:rPr>
              <w:t xml:space="preserve">int</w:t>
            </w:r>
          </w:p>
        </w:tc>
        <w:tc>
          <w:tcPr>
            <w:tcW w:type="dxa" w:w="5350"/>
          </w:tcPr>
          <w:p>
            <w:r>
              <w:rPr>
                <w:b w:val="false"/>
                <w:bCs w:val="false"/>
              </w:rPr>
              <w:t xml:space="preserve">nullable, self-FK (Restrict) -&gt; Users; template user this user inherits permissions from (one level only)</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t>
            </w:r>
          </w:p>
        </w:tc>
      </w:tr>
    </w:tbl>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t>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t>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t>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(OrangepuffPortal.Host cookie auth scheme, see section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via OrangepuffPortal.Host's MigratePortalModulesAsync() for Identity plus a manual DocumentDbContext migrate call. Identity, cookie/Google-OAuth auth, and the /bff/* routes are wired in via AddOrangepuffPortal()/MapOrangepuffPortal() from the OrangepuffPortal.Host package; ICurrentUser/CurrentUser also come from that package now, not a local stub or JWT-bearer-validated claim.</w:t>
      </w:r>
    </w:p>
    <w:p>
      <w:pPr>
        <w:spacing w:after="140"/>
      </w:pPr>
      <w:r>
        <w:t xml:space="preserve">Endpoints: POST /pdf-files (upload), POST /pdf-files/{id}/crop, GET /pdf-files?projectId= (list), GET /pdf-files/{id} (detail), GET /pdf-files/{id}/content (stream) -- all now require the OrangepuffPortal.Host cookie auth scheme, not the old internal JWT bearer scheme. Also serves GET/POST /bff/login, /bff/logout, /bff/me, /bff/me/permissions, /bff/me/avatar, and the AdminOnly-gated /bff/admin/* group (users, security-rule-categories, security-rule-items) directly -- the old /internal/identity/* endpoints that only OCRWeb.Bff called are gone, since there is no more separate Bff process to call them.</w:t>
      </w:r>
    </w:p>
    <w:p>
      <w:pPr>
        <w:spacing w:after="140"/>
      </w:pPr>
      <w:r>
        <w:t xml:space="preserve">Database: none of its own (orchestrates module contexts).</w:t>
      </w:r>
    </w:p>
    <w:p>
      <w:pPr>
        <w:pStyle w:val="Heading2"/>
        <w:spacing w:after="120" w:before="260"/>
      </w:pPr>
      <w:r>
        <w:t xml:space="preserve">4.7 OCRWeb.Bff - Removed</w:t>
      </w:r>
    </w:p>
    <w:p>
      <w:pPr>
        <w:spacing w:after="140"/>
      </w:pPr>
      <w:r>
        <w:t xml:space="preserve">Removed: folded into OCRWeb.API as a single process. Cookie + Google OAuth auth now comes from the OrangepuffPortal.Host package (AddOrangepuffPortal()/MapOrangepuffPortal() in OCRWeb.API's Program.cs) instead of a separate Bff process talking to the API over an internal RS256 JWT 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pStyle w:val="Heading2"/>
        <w:spacing w:after="120" w:before="260"/>
      </w:pPr>
      <w:r>
        <w:t xml:space="preserve">4.8 OCRWeb.Frontend - Partial Implemented</w:t>
      </w:r>
    </w:p>
    <w:p>
      <w:pPr>
        <w:spacing w:after="140"/>
      </w:pPr>
      <w:r>
        <w:t xml:space="preserve">Responsibility: Angular 22 application - shell (header, session, admin UI) plus a body-content area that embeds a per-deployment Angular body app (e.g. a future OCR web) via a same-origin iframe. Talks only to the BFF.</w:t>
      </w:r>
    </w:p>
    <w:p>
      <w:pPr>
        <w:spacing w:after="140"/>
      </w:pPr>
      <w:r>
        <w:t xml:space="preserve">Session flow: Google sign-in with a persistent cookie (ASP.NET Core Data Protection keys mounted to a Docker volume so it survives container restarts), AuthService/IdentityService (session state via /bff/me and /bff/me/permissions), authGuard (login required) and adminGuard (IsAdmin required, redirects a non-admin to /home) route guards. Header (built on OCRWeb.Frontend.Shared's Avatar and IdentityService) shows a dark app bar with a "Hello, {name}" dropdown: Settings (self-service avatar upload) for everyone, Manage Users / Manage Rules / Manage Themes (placeholder) for admins. Admin CRUD screens exist for Users, SecurityRuleCategories, and SecurityRuleItems (list, add/edit dialog, ConfirmDialog delete confirmation). /home is the post-login landing route; it no longer plans its own upload/project-list/workspace screens - those are expected to live in a separate embedded body app (see below), not in this shell. Body-content area: /home renders a same-origin iframe whose src is environment.bodyAppUrl (Angular environment.ts, build-time - the URL is expected to change rarely, e.g. once per project setup, so a rebuild-to-change tradeoff was accepted over a runtime config file). Shows a placeholder message when unset, e.g. before an OCR web project exists. The iframe fills the full viewport below the fixed header with no gap; the shell contributes only the header bar, per the approved design.</w:t>
      </w:r>
    </w:p>
    <w:p>
      <w:pPr>
        <w:pStyle w:val="Heading2"/>
        <w:spacing w:after="120" w:before="260"/>
      </w:pPr>
      <w:r>
        <w:t xml:space="preserve">4.9 OCRWeb.Frontend.Shared - Partial Implemented</w:t>
      </w:r>
    </w:p>
    <w:p>
      <w:pPr>
        <w:spacing w:after="140"/>
      </w:pPr>
      <w:r>
        <w:t xml:space="preserve">Responsibility: Angular 22 shared component library for reusable UI and auth/session state, consumed by both the OCRWeb.Frontend shell and any future Angular body app embedded in its iframe (e.g. a future OCR web), so they share styling and auth plumbing with no extra wiring.</w:t>
      </w:r>
    </w:p>
    <w:p>
      <w:pPr>
        <w:spacing w:after="140"/>
      </w:pPr>
      <w:r>
        <w:t xml:space="preserve">Built as its own library workspace (ng new --no-create-application + ng generate library), packed via npm pack and consumed as a tarball dependency rather than a raw file: path - a symlinked directory resolves its own @angular/core copy and breaks DI with a duplicate core instance (NG0203). Implemented: IdentityService (current user and effective permissions via /bff/me, /bff/me/permissions), Avatar (self or other users' avatar image), ConfirmDialog (replaces the browser confirm() in admin delete flows), and a shared Material 3 theme mixin (theme.scss). CropPdf and other body-app-specific primitives are not built yet - out of scope until a body app needs them.</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â€”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â€”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image (single host, also serves /bff/*);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â€” currently only the auth shell exists.</w:t>
      </w:r>
    </w:p>
    <w:p>
      <w:pPr>
        <w:pStyle w:val="ListParagraph"/>
        <w:numPr>
          <w:ilvl w:val="0"/>
          <w:numId w:val="2"/>
        </w:numPr>
        <w:spacing w:after="60"/>
      </w:pPr>
      <w:r>
        <w:t xml:space="preserve">Resolved: the Bff&lt;-&gt;API internal RS256 token no longer exists. OCRWeb.API and the former Bff collapsed into one process via the OrangepuffPortal.Host package, so there is no internal HTTP hop left to harden.</w:t>
      </w:r>
    </w:p>
    <w:p>
      <w:pPr>
        <w:pStyle w:val="ListParagraph"/>
        <w:numPr>
          <w:ilvl w:val="0"/>
          <w:numId w:val="2"/>
        </w:numPr>
        <w:spacing w:after="60"/>
      </w:pPr>
      <w:r>
        <w:t xml:space="preserve">A UseMockAuthorization dev/test bypass for OCRWeb.API was requested but deliberately deferred until real JWT auth existed â€” that auth now exists (Â§4.6),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