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77487" w14:textId="77777777" w:rsidR="00072F09" w:rsidRPr="00072F09" w:rsidRDefault="00072F09" w:rsidP="00072F09">
      <w:pPr>
        <w:spacing w:before="360" w:after="0" w:line="540" w:lineRule="atLeast"/>
        <w:outlineLvl w:val="0"/>
        <w:rPr>
          <w:rFonts w:ascii="Arial" w:eastAsia="Times New Roman" w:hAnsi="Arial" w:cs="Arial"/>
          <w:b/>
          <w:bCs/>
          <w:color w:val="1F1F1F"/>
          <w:kern w:val="36"/>
          <w:sz w:val="42"/>
          <w:szCs w:val="42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kern w:val="36"/>
          <w:sz w:val="42"/>
          <w:szCs w:val="42"/>
          <w:lang w:eastAsia="es-AR"/>
        </w:rPr>
        <w:t>Ficha Técnica: Cinta de Aluminio-Poliéster (Al-Mylar) para Cables de Instrumentación</w:t>
      </w:r>
    </w:p>
    <w:p w14:paraId="246E2F98" w14:textId="77777777" w:rsidR="00072F09" w:rsidRPr="00072F09" w:rsidRDefault="00072F09" w:rsidP="00072F09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  <w:t>Descripción del Producto</w:t>
      </w:r>
    </w:p>
    <w:p w14:paraId="322497D0" w14:textId="77777777" w:rsidR="00072F09" w:rsidRPr="00072F09" w:rsidRDefault="00072F09" w:rsidP="00072F09">
      <w:p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La </w:t>
      </w:r>
      <w:r w:rsidRPr="00072F09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Cinta de Aluminio-Poliéster</w:t>
      </w: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es un laminado blindante de alta ingeniería diseñado específicamente para la protección electroestática y electromagnética en cables de instrumentación, señal y transmisión de datos. Combina la excelente conductividad eléctrica de la hoja de aluminio recocido con la alta resistencia mecánica y aislamiento del film de poliéster (PET), asegurando una cobertura del 100% contra interferencias externas. </w:t>
      </w:r>
    </w:p>
    <w:p w14:paraId="0A140EE0" w14:textId="77777777" w:rsidR="00072F09" w:rsidRPr="00072F09" w:rsidRDefault="00072F09" w:rsidP="00072F09">
      <w:pPr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AR"/>
        </w:rPr>
        <w:t>1. Funciones Principales en Cables de Instrumentación</w:t>
      </w:r>
    </w:p>
    <w:p w14:paraId="3E8B5B73" w14:textId="77777777" w:rsidR="00072F09" w:rsidRPr="00072F09" w:rsidRDefault="00072F09" w:rsidP="00072F09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Blindaje Electromagnético (EMI/RFI):</w:t>
      </w: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Actúa como una barrera física que refleja y absorbe las interferencias de radiofrecuencia y electromagnéticas, garantizando la integridad de señales analógicas o digitales críticas (de 4 a 20 mA, sistemas PLC, etc.).</w:t>
      </w:r>
    </w:p>
    <w:p w14:paraId="03402DD6" w14:textId="77777777" w:rsidR="00072F09" w:rsidRPr="00072F09" w:rsidRDefault="00072F09" w:rsidP="00072F09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Aislamiento entre Pares (Cross-talk):</w:t>
      </w: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En construcciones multipares, se utiliza como blindaje individual para evitar la diafonía (interferencia de señal entre un par y otro dentro del mismo cable).</w:t>
      </w:r>
    </w:p>
    <w:p w14:paraId="502B232A" w14:textId="77777777" w:rsidR="00072F09" w:rsidRPr="00072F09" w:rsidRDefault="00072F09" w:rsidP="00072F09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Contacto Eficiente con el Hilo de Drenaje:</w:t>
      </w: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La cara de aluminio se coloca en contacto directo y longitudinal con un hilo de drenaje de cobre estañado, facilitando una descarga a tierra rápida y segura. </w:t>
      </w:r>
    </w:p>
    <w:p w14:paraId="2EEE02A1" w14:textId="77777777" w:rsidR="00072F09" w:rsidRPr="00072F09" w:rsidRDefault="00072F09" w:rsidP="00072F09">
      <w:pPr>
        <w:numPr>
          <w:ilvl w:val="0"/>
          <w:numId w:val="8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Barrera contra Humedad y Agentes Químicos:</w:t>
      </w: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El film de poliéster aporta una capa estanca que protege los conductores internos de la penetración de vapores, aceites y degradación ambiental.</w:t>
      </w:r>
    </w:p>
    <w:p w14:paraId="7BE7B85F" w14:textId="77777777" w:rsidR="00072F09" w:rsidRPr="00072F09" w:rsidRDefault="00072F09" w:rsidP="00072F09">
      <w:pPr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AR"/>
        </w:rPr>
        <w:t>2. Características y Propiedades Técnicas</w:t>
      </w:r>
    </w:p>
    <w:p w14:paraId="03990535" w14:textId="77777777" w:rsidR="00072F09" w:rsidRPr="00072F09" w:rsidRDefault="00072F09" w:rsidP="00072F09">
      <w:p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Nota para la Web:</w:t>
      </w: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Los valores indicados a continuación representan los estándares más utilizados en la industria (estructuras típicas de 25 a 30 micrones). Pueden ajustarse según las especificaciones de tu catálogo.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2076"/>
        <w:gridCol w:w="4889"/>
      </w:tblGrid>
      <w:tr w:rsidR="00072F09" w:rsidRPr="00072F09" w14:paraId="65F5B3B7" w14:textId="77777777" w:rsidTr="00072F09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20697CED" w14:textId="77777777" w:rsidR="00072F09" w:rsidRPr="00072F09" w:rsidRDefault="00072F09" w:rsidP="00072F09">
            <w:pPr>
              <w:spacing w:after="0" w:line="360" w:lineRule="atLeast"/>
              <w:jc w:val="center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lastRenderedPageBreak/>
              <w:t>Propiedad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09EA4C32" w14:textId="77777777" w:rsidR="00072F09" w:rsidRPr="00072F09" w:rsidRDefault="00072F09" w:rsidP="00072F09">
            <w:pPr>
              <w:spacing w:after="0" w:line="360" w:lineRule="atLeast"/>
              <w:jc w:val="center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Unidad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7C79C133" w14:textId="77777777" w:rsidR="00072F09" w:rsidRPr="00072F09" w:rsidRDefault="00072F09" w:rsidP="00072F09">
            <w:pPr>
              <w:spacing w:after="0" w:line="360" w:lineRule="atLeast"/>
              <w:jc w:val="center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Especificación / Valor Típico</w:t>
            </w:r>
          </w:p>
        </w:tc>
      </w:tr>
      <w:tr w:rsidR="00072F09" w:rsidRPr="00072F09" w14:paraId="044C6371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DFC6CCB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Estructura Estándar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7E65E24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BB68655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Aluminio (Al) + Adhesivo de Laminación + Poliéster (PET)</w:t>
            </w:r>
          </w:p>
        </w:tc>
      </w:tr>
      <w:tr w:rsidR="00072F09" w:rsidRPr="00072F09" w14:paraId="22D769BF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18FA37F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Espesor del Aluminio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E7FF083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KaTeX_Math" w:eastAsia="Times New Roman" w:hAnsi="KaTeX_Math" w:cs="Times New Roman"/>
                <w:i/>
                <w:iCs/>
                <w:color w:val="1F1F1F"/>
                <w:sz w:val="31"/>
                <w:szCs w:val="31"/>
                <w:lang w:eastAsia="es-AR"/>
              </w:rPr>
              <w:t>μm</w:t>
            </w: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 (Micrones)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D3AC655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7 a 9 (Típico para flexibilidad óptima)</w:t>
            </w:r>
          </w:p>
        </w:tc>
      </w:tr>
      <w:tr w:rsidR="00072F09" w:rsidRPr="00072F09" w14:paraId="297ED414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D008713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Espesor del Poliéster (PET)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84AB0B4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KaTeX_Math" w:eastAsia="Times New Roman" w:hAnsi="KaTeX_Math" w:cs="Times New Roman"/>
                <w:i/>
                <w:iCs/>
                <w:color w:val="1F1F1F"/>
                <w:sz w:val="31"/>
                <w:szCs w:val="31"/>
                <w:lang w:eastAsia="es-AR"/>
              </w:rPr>
              <w:t>μm</w:t>
            </w: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 (Micrones)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469CA33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12 a 15 (Aislamiento eléctrico de grado superior)</w:t>
            </w:r>
          </w:p>
        </w:tc>
      </w:tr>
      <w:tr w:rsidR="00072F09" w:rsidRPr="00072F09" w14:paraId="58E5606D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19ADD09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Espesor Total de la Cinta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D1E469C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KaTeX_Math" w:eastAsia="Times New Roman" w:hAnsi="KaTeX_Math" w:cs="Times New Roman"/>
                <w:i/>
                <w:iCs/>
                <w:color w:val="1F1F1F"/>
                <w:sz w:val="31"/>
                <w:szCs w:val="31"/>
                <w:lang w:eastAsia="es-AR"/>
              </w:rPr>
              <w:t>μm</w:t>
            </w: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 (Micrones)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D87AC2E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23 a 27</w:t>
            </w:r>
          </w:p>
        </w:tc>
      </w:tr>
      <w:tr w:rsidR="00072F09" w:rsidRPr="00072F09" w14:paraId="19B953E3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2B113A1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Fuerza de Tensión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E4B061F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KaTeX_Math" w:eastAsia="Times New Roman" w:hAnsi="KaTeX_Math" w:cs="Times New Roman"/>
                <w:i/>
                <w:iCs/>
                <w:color w:val="1F1F1F"/>
                <w:sz w:val="31"/>
                <w:szCs w:val="31"/>
                <w:lang w:eastAsia="es-AR"/>
              </w:rPr>
              <w:t>N</w:t>
            </w:r>
            <w:r w:rsidRPr="00072F09">
              <w:rPr>
                <w:rFonts w:ascii="Times New Roman" w:eastAsia="Times New Roman" w:hAnsi="Times New Roman" w:cs="Times New Roman"/>
                <w:color w:val="1F1F1F"/>
                <w:sz w:val="31"/>
                <w:szCs w:val="31"/>
                <w:lang w:eastAsia="es-AR"/>
              </w:rPr>
              <w:t>/mm</w:t>
            </w:r>
            <w:r w:rsidRPr="00072F09">
              <w:rPr>
                <w:rFonts w:ascii="Times New Roman" w:eastAsia="Times New Roman" w:hAnsi="Times New Roman" w:cs="Times New Roman"/>
                <w:color w:val="1F1F1F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F3685D6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Times New Roman" w:eastAsia="Times New Roman" w:hAnsi="Times New Roman" w:cs="Times New Roman"/>
                <w:color w:val="1F1F1F"/>
                <w:sz w:val="31"/>
                <w:szCs w:val="31"/>
                <w:lang w:eastAsia="es-AR"/>
              </w:rPr>
              <w:t>≥60</w:t>
            </w:r>
          </w:p>
        </w:tc>
      </w:tr>
      <w:tr w:rsidR="00072F09" w:rsidRPr="00072F09" w14:paraId="1112BB40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5D3E9BA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Elongación a la Ruptura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DBA8299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Times New Roman" w:eastAsia="Times New Roman" w:hAnsi="Times New Roman" w:cs="Times New Roman"/>
                <w:color w:val="1F1F1F"/>
                <w:sz w:val="31"/>
                <w:szCs w:val="31"/>
                <w:lang w:eastAsia="es-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7311580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Times New Roman" w:eastAsia="Times New Roman" w:hAnsi="Times New Roman" w:cs="Times New Roman"/>
                <w:color w:val="1F1F1F"/>
                <w:sz w:val="31"/>
                <w:szCs w:val="31"/>
                <w:lang w:eastAsia="es-AR"/>
              </w:rPr>
              <w:t>≥35%</w:t>
            </w:r>
          </w:p>
        </w:tc>
      </w:tr>
      <w:tr w:rsidR="00072F09" w:rsidRPr="00072F09" w14:paraId="413BA0EB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6A6415F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Resistencia Eléctrica (Lado 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326990E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Times New Roman" w:eastAsia="Times New Roman" w:hAnsi="Times New Roman" w:cs="Times New Roman"/>
                <w:color w:val="1F1F1F"/>
                <w:sz w:val="31"/>
                <w:szCs w:val="31"/>
                <w:lang w:eastAsia="es-AR"/>
              </w:rPr>
              <w:t>Ω</w:t>
            </w:r>
            <w:r w:rsidRPr="00072F09">
              <w:rPr>
                <w:rFonts w:ascii="Cambria Math" w:eastAsia="Times New Roman" w:hAnsi="Cambria Math" w:cs="Cambria Math"/>
                <w:color w:val="1F1F1F"/>
                <w:sz w:val="31"/>
                <w:szCs w:val="31"/>
                <w:lang w:eastAsia="es-AR"/>
              </w:rPr>
              <w:t>⋅</w:t>
            </w:r>
            <w:r w:rsidRPr="00072F09">
              <w:rPr>
                <w:rFonts w:ascii="KaTeX_Math" w:eastAsia="Times New Roman" w:hAnsi="KaTeX_Math" w:cs="Times New Roman"/>
                <w:i/>
                <w:iCs/>
                <w:color w:val="1F1F1F"/>
                <w:sz w:val="31"/>
                <w:szCs w:val="31"/>
                <w:lang w:eastAsia="es-AR"/>
              </w:rPr>
              <w:t>μm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ACA62C2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Times New Roman" w:eastAsia="Times New Roman" w:hAnsi="Times New Roman" w:cs="Times New Roman"/>
                <w:color w:val="1F1F1F"/>
                <w:sz w:val="31"/>
                <w:szCs w:val="31"/>
                <w:lang w:eastAsia="es-AR"/>
              </w:rPr>
              <w:t>≤2500</w:t>
            </w:r>
          </w:p>
        </w:tc>
      </w:tr>
      <w:tr w:rsidR="00072F09" w:rsidRPr="00072F09" w14:paraId="0872B447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7992C44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Fuerza de Despegue (Peel Strength)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A43FED3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KaTeX_Math" w:eastAsia="Times New Roman" w:hAnsi="KaTeX_Math" w:cs="Times New Roman"/>
                <w:i/>
                <w:iCs/>
                <w:color w:val="1F1F1F"/>
                <w:sz w:val="31"/>
                <w:szCs w:val="31"/>
                <w:lang w:eastAsia="es-AR"/>
              </w:rPr>
              <w:t>N</w:t>
            </w:r>
            <w:r w:rsidRPr="00072F09">
              <w:rPr>
                <w:rFonts w:ascii="Times New Roman" w:eastAsia="Times New Roman" w:hAnsi="Times New Roman" w:cs="Times New Roman"/>
                <w:color w:val="1F1F1F"/>
                <w:sz w:val="31"/>
                <w:szCs w:val="31"/>
                <w:lang w:eastAsia="es-AR"/>
              </w:rPr>
              <w:t>/cm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D93C17D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Times New Roman" w:eastAsia="Times New Roman" w:hAnsi="Times New Roman" w:cs="Times New Roman"/>
                <w:color w:val="1F1F1F"/>
                <w:sz w:val="31"/>
                <w:szCs w:val="31"/>
                <w:lang w:eastAsia="es-AR"/>
              </w:rPr>
              <w:t>≥6.3</w:t>
            </w:r>
          </w:p>
        </w:tc>
      </w:tr>
      <w:tr w:rsidR="00072F09" w:rsidRPr="00072F09" w14:paraId="46A64BE9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37AAF6E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Opciones de Presentación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4A8EC2D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F792C53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Bobinas (Pad / Spool) cortadas a medida (ancho mínimo 5 mm)</w:t>
            </w:r>
          </w:p>
        </w:tc>
      </w:tr>
      <w:tr w:rsidR="00072F09" w:rsidRPr="00072F09" w14:paraId="4E9F1B37" w14:textId="77777777" w:rsidTr="00072F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4BB08BA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b/>
                <w:bCs/>
                <w:color w:val="1F1F1F"/>
                <w:sz w:val="26"/>
                <w:szCs w:val="26"/>
                <w:lang w:eastAsia="es-AR"/>
              </w:rPr>
              <w:t>Colores Disponibles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64AB4AA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B01C995" w14:textId="77777777" w:rsidR="00072F09" w:rsidRPr="00072F09" w:rsidRDefault="00072F09" w:rsidP="00072F09">
            <w:pPr>
              <w:spacing w:after="0" w:line="360" w:lineRule="atLeast"/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</w:pPr>
            <w:r w:rsidRPr="00072F09">
              <w:rPr>
                <w:rFonts w:ascii="Arial" w:eastAsia="Times New Roman" w:hAnsi="Arial" w:cs="Arial"/>
                <w:color w:val="1F1F1F"/>
                <w:sz w:val="26"/>
                <w:szCs w:val="26"/>
                <w:lang w:eastAsia="es-AR"/>
              </w:rPr>
              <w:t>Plata (Natural) o Azul</w:t>
            </w:r>
          </w:p>
        </w:tc>
      </w:tr>
    </w:tbl>
    <w:p w14:paraId="48E3EEC3" w14:textId="77777777" w:rsidR="00072F09" w:rsidRPr="00072F09" w:rsidRDefault="00072F09" w:rsidP="00072F09">
      <w:pPr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AR"/>
        </w:rPr>
        <w:t>3. Ventajas Competitivas de Nuestro Producto</w:t>
      </w:r>
    </w:p>
    <w:p w14:paraId="6B4B8A40" w14:textId="77777777" w:rsidR="00072F09" w:rsidRPr="00072F09" w:rsidRDefault="00072F09" w:rsidP="00072F09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Excelente Maleabilidad y Flexibilidad:</w:t>
      </w: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Su diseño "dead soft" permite que la cinta se adapte perfectamente a geometrías curvilíneas o torsiones continuas durante el proceso de cableado y extrusión, evitando pliegues o roturas.</w:t>
      </w:r>
    </w:p>
    <w:p w14:paraId="4C03AA2B" w14:textId="77777777" w:rsidR="00072F09" w:rsidRPr="00072F09" w:rsidRDefault="00072F09" w:rsidP="00072F09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lastRenderedPageBreak/>
        <w:t>Solapamiento Seguro:</w:t>
      </w: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Permite un traslape helicoidal o longitudinal uniforme (habitualmente del 25%) sin perder continuidad galvánica ni dejar espacios expuestos a interferencias.</w:t>
      </w:r>
    </w:p>
    <w:p w14:paraId="43A40345" w14:textId="77777777" w:rsidR="00072F09" w:rsidRPr="00072F09" w:rsidRDefault="00072F09" w:rsidP="00072F09">
      <w:pPr>
        <w:numPr>
          <w:ilvl w:val="0"/>
          <w:numId w:val="9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26"/>
          <w:szCs w:val="26"/>
          <w:lang w:eastAsia="es-AR"/>
        </w:rPr>
        <w:t>Estabilidad Térmica:</w:t>
      </w: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 xml:space="preserve"> Soporta perfectamente las altas temperaturas generadas en la línea de extrusión durante la aplicación de la vaina exterior (PVC, XLPE o LSZH) sin delaminarse.</w:t>
      </w:r>
    </w:p>
    <w:p w14:paraId="061E4B22" w14:textId="77777777" w:rsidR="00072F09" w:rsidRPr="00072F09" w:rsidRDefault="00072F09" w:rsidP="00072F09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</w:pPr>
      <w:r w:rsidRPr="00072F09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AR"/>
        </w:rPr>
        <w:t>Aplicaciones Recomendadas</w:t>
      </w:r>
    </w:p>
    <w:p w14:paraId="5334FB64" w14:textId="77777777" w:rsidR="00072F09" w:rsidRPr="00072F09" w:rsidRDefault="00072F09" w:rsidP="00072F09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Cables de instrumentación industrial (Sistemas de control de procesos, refinerías, plantas de energía).</w:t>
      </w:r>
    </w:p>
    <w:p w14:paraId="329D1354" w14:textId="77777777" w:rsidR="00072F09" w:rsidRPr="00072F09" w:rsidRDefault="00072F09" w:rsidP="00072F09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Cables para transmisión de datos de alta velocidad y redes de comunicación.</w:t>
      </w:r>
    </w:p>
    <w:p w14:paraId="4EFB5BDA" w14:textId="77777777" w:rsidR="00072F09" w:rsidRPr="00072F09" w:rsidRDefault="00072F09" w:rsidP="00072F09">
      <w:pPr>
        <w:numPr>
          <w:ilvl w:val="0"/>
          <w:numId w:val="10"/>
        </w:numPr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s-AR"/>
        </w:rPr>
      </w:pPr>
      <w:r w:rsidRPr="00072F09">
        <w:rPr>
          <w:rFonts w:ascii="Arial" w:eastAsia="Times New Roman" w:hAnsi="Arial" w:cs="Arial"/>
          <w:color w:val="1F1F1F"/>
          <w:sz w:val="26"/>
          <w:szCs w:val="26"/>
          <w:lang w:eastAsia="es-AR"/>
        </w:rPr>
        <w:t>Cables de señales en entornos con alto ruido eléctrico o proximidad a motores y transformadores.</w:t>
      </w:r>
    </w:p>
    <w:p w14:paraId="338D334E" w14:textId="77777777" w:rsidR="00EF4B74" w:rsidRPr="00072F09" w:rsidRDefault="00EF4B74" w:rsidP="00072F09"/>
    <w:sectPr w:rsidR="00EF4B74" w:rsidRPr="00072F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D48C0"/>
    <w:multiLevelType w:val="multilevel"/>
    <w:tmpl w:val="801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6C0B"/>
    <w:multiLevelType w:val="multilevel"/>
    <w:tmpl w:val="742E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D3755"/>
    <w:multiLevelType w:val="multilevel"/>
    <w:tmpl w:val="CAB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D7739"/>
    <w:multiLevelType w:val="multilevel"/>
    <w:tmpl w:val="126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72D8F"/>
    <w:multiLevelType w:val="multilevel"/>
    <w:tmpl w:val="EDE2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C67E2"/>
    <w:multiLevelType w:val="multilevel"/>
    <w:tmpl w:val="0AF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066E5"/>
    <w:multiLevelType w:val="multilevel"/>
    <w:tmpl w:val="727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52EB6"/>
    <w:multiLevelType w:val="multilevel"/>
    <w:tmpl w:val="9042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43FDF"/>
    <w:multiLevelType w:val="multilevel"/>
    <w:tmpl w:val="175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115F0"/>
    <w:multiLevelType w:val="multilevel"/>
    <w:tmpl w:val="77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9"/>
  </w:num>
  <w:num w:numId="6">
    <w:abstractNumId w:val="8"/>
  </w:num>
  <w:num w:numId="7">
    <w:abstractNumId w:val="4"/>
  </w:num>
  <w:num w:numId="8">
    <w:abstractNumId w:val="3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2D"/>
    <w:rsid w:val="00072F09"/>
    <w:rsid w:val="000C61F5"/>
    <w:rsid w:val="007A052D"/>
    <w:rsid w:val="00EF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74AFC"/>
  <w15:chartTrackingRefBased/>
  <w15:docId w15:val="{08DAA29D-88AA-40C5-8BC4-FAD50CFF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A0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A0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A05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A052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A0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7">
    <w:name w:val="citation-7"/>
    <w:basedOn w:val="Fuentedeprrafopredeter"/>
    <w:rsid w:val="007A052D"/>
  </w:style>
  <w:style w:type="character" w:styleId="Textoennegrita">
    <w:name w:val="Strong"/>
    <w:basedOn w:val="Fuentedeprrafopredeter"/>
    <w:uiPriority w:val="22"/>
    <w:qFormat/>
    <w:rsid w:val="007A052D"/>
    <w:rPr>
      <w:b/>
      <w:bCs/>
    </w:rPr>
  </w:style>
  <w:style w:type="character" w:customStyle="1" w:styleId="math-inline">
    <w:name w:val="math-inline"/>
    <w:basedOn w:val="Fuentedeprrafopredeter"/>
    <w:rsid w:val="007A052D"/>
  </w:style>
  <w:style w:type="character" w:customStyle="1" w:styleId="citation-6">
    <w:name w:val="citation-6"/>
    <w:basedOn w:val="Fuentedeprrafopredeter"/>
    <w:rsid w:val="007A052D"/>
  </w:style>
  <w:style w:type="character" w:customStyle="1" w:styleId="citation-5">
    <w:name w:val="citation-5"/>
    <w:basedOn w:val="Fuentedeprrafopredeter"/>
    <w:rsid w:val="007A052D"/>
  </w:style>
  <w:style w:type="character" w:customStyle="1" w:styleId="citation-4">
    <w:name w:val="citation-4"/>
    <w:basedOn w:val="Fuentedeprrafopredeter"/>
    <w:rsid w:val="007A052D"/>
  </w:style>
  <w:style w:type="character" w:customStyle="1" w:styleId="citation-3">
    <w:name w:val="citation-3"/>
    <w:basedOn w:val="Fuentedeprrafopredeter"/>
    <w:rsid w:val="007A052D"/>
  </w:style>
  <w:style w:type="character" w:customStyle="1" w:styleId="citation-2">
    <w:name w:val="citation-2"/>
    <w:basedOn w:val="Fuentedeprrafopredeter"/>
    <w:rsid w:val="007A052D"/>
  </w:style>
  <w:style w:type="character" w:customStyle="1" w:styleId="citation-1">
    <w:name w:val="citation-1"/>
    <w:basedOn w:val="Fuentedeprrafopredeter"/>
    <w:rsid w:val="007A052D"/>
  </w:style>
  <w:style w:type="character" w:customStyle="1" w:styleId="citation-0">
    <w:name w:val="citation-0"/>
    <w:basedOn w:val="Fuentedeprrafopredeter"/>
    <w:rsid w:val="007A052D"/>
  </w:style>
  <w:style w:type="character" w:customStyle="1" w:styleId="Ttulo1Car">
    <w:name w:val="Título 1 Car"/>
    <w:basedOn w:val="Fuentedeprrafopredeter"/>
    <w:link w:val="Ttulo1"/>
    <w:uiPriority w:val="9"/>
    <w:rsid w:val="000C6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31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828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9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0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603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85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1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8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146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69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205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1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456121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318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83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77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0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5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5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94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26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0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54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2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13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3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16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7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95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03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710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1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57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16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655532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699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8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55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79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1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2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501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Homero</dc:creator>
  <cp:keywords/>
  <dc:description/>
  <cp:lastModifiedBy>Homero</cp:lastModifiedBy>
  <cp:revision>3</cp:revision>
  <dcterms:created xsi:type="dcterms:W3CDTF">2026-06-05T19:35:00Z</dcterms:created>
  <dcterms:modified xsi:type="dcterms:W3CDTF">2026-06-05T19:40:00Z</dcterms:modified>
</cp:coreProperties>
</file>