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1440" w:lineRule="auto"/>
        <w:jc w:val="center"/>
        <w:rPr/>
      </w:pPr>
      <w:r w:rsidDel="00000000" w:rsidR="00000000" w:rsidRPr="00000000">
        <w:rPr>
          <w:rFonts w:ascii="Arial" w:cs="Arial" w:eastAsia="Arial" w:hAnsi="Arial"/>
          <w:b w:val="1"/>
          <w:bCs w:val="1"/>
          <w:color w:val="1a3a5c"/>
          <w:sz w:val="56"/>
          <w:szCs w:val="56"/>
          <w:rtl w:val="0"/>
        </w:rPr>
        <w:t xml:space="preserve">LA RED COMO DERECHO</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rFonts w:ascii="Arial" w:cs="Arial" w:eastAsia="Arial" w:hAnsi="Arial"/>
          <w:b w:val="1"/>
          <w:bCs w:val="1"/>
          <w:color w:val="2e5496"/>
          <w:sz w:val="32"/>
          <w:szCs w:val="32"/>
          <w:rtl w:val="0"/>
        </w:rPr>
        <w:t xml:space="preserve">Telefonía, acceso al conocimiento, universalidad y justicia de género</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i w:val="1"/>
          <w:iCs w:val="1"/>
          <w:sz w:val="24"/>
          <w:szCs w:val="24"/>
          <w:rtl w:val="0"/>
        </w:rPr>
        <w:t xml:space="preserve">Internet de Banda Ancha como Servicio Básico Universal:</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Fonts w:ascii="Arial" w:cs="Arial" w:eastAsia="Arial" w:hAnsi="Arial"/>
          <w:i w:val="1"/>
          <w:iCs w:val="1"/>
          <w:sz w:val="22"/>
          <w:szCs w:val="22"/>
          <w:rtl w:val="0"/>
        </w:rPr>
        <w:t xml:space="preserve">Fundamentos Normativos, Impacto Social, Propuestas de Política Pública y Análisis Interseccional de Género para la Garantía de la Conectividad en España — Versión Ampliada</w:t>
      </w:r>
      <w:r w:rsidDel="00000000" w:rsidR="00000000" w:rsidRPr="00000000">
        <w:rPr>
          <w:rtl w:val="0"/>
        </w:rPr>
      </w:r>
    </w:p>
    <w:p w:rsidR="00000000" w:rsidDel="00000000" w:rsidP="00000000" w:rsidRDefault="00000000" w:rsidRPr="00000000" w14:paraId="00000005">
      <w:pPr>
        <w:spacing w:after="240" w:before="720" w:lineRule="auto"/>
        <w:jc w:val="center"/>
        <w:rPr/>
      </w:pPr>
      <w:r w:rsidDel="00000000" w:rsidR="00000000" w:rsidRPr="00000000">
        <w:rPr>
          <w:rFonts w:ascii="Arial" w:cs="Arial" w:eastAsia="Arial" w:hAnsi="Arial"/>
          <w:b w:val="1"/>
          <w:bCs w:val="1"/>
          <w:sz w:val="28"/>
          <w:szCs w:val="28"/>
          <w:rtl w:val="0"/>
        </w:rPr>
        <w:t xml:space="preserve">David Ferrandez Canalis</w:t>
      </w:r>
      <w:r w:rsidDel="00000000" w:rsidR="00000000" w:rsidRPr="00000000">
        <w:rPr>
          <w:rtl w:val="0"/>
        </w:rPr>
      </w:r>
    </w:p>
    <w:p w:rsidR="00000000" w:rsidDel="00000000" w:rsidP="00000000" w:rsidRDefault="00000000" w:rsidRPr="00000000" w14:paraId="00000006">
      <w:pPr>
        <w:spacing w:after="240" w:before="0" w:lineRule="auto"/>
        <w:jc w:val="left"/>
        <w:rPr/>
      </w:pPr>
      <w:r w:rsidDel="00000000" w:rsidR="00000000" w:rsidRPr="00000000">
        <w:rPr>
          <w:rtl w:val="0"/>
        </w:rPr>
      </w:r>
    </w:p>
    <w:p w:rsidR="00000000" w:rsidDel="00000000" w:rsidP="00000000" w:rsidRDefault="00000000" w:rsidRPr="00000000" w14:paraId="00000007">
      <w:pPr>
        <w:spacing w:after="1440" w:before="0" w:lineRule="auto"/>
        <w:jc w:val="center"/>
        <w:rPr/>
      </w:pPr>
      <w:r w:rsidDel="00000000" w:rsidR="00000000" w:rsidRPr="00000000">
        <w:rPr>
          <w:rFonts w:ascii="Arial" w:cs="Arial" w:eastAsia="Arial" w:hAnsi="Arial"/>
          <w:sz w:val="22"/>
          <w:szCs w:val="22"/>
          <w:rtl w:val="0"/>
        </w:rPr>
        <w:t xml:space="preserve">Marzo de 2026 — </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RESUMEN EJECUTIVO</w:t>
      </w:r>
    </w:p>
    <w:p w:rsidR="00000000" w:rsidDel="00000000" w:rsidP="00000000" w:rsidRDefault="00000000" w:rsidRPr="00000000" w14:paraId="0000000A">
      <w:pPr>
        <w:spacing w:after="160" w:before="80" w:lineRule="auto"/>
        <w:jc w:val="both"/>
        <w:rPr/>
      </w:pPr>
      <w:r w:rsidDel="00000000" w:rsidR="00000000" w:rsidRPr="00000000">
        <w:rPr>
          <w:sz w:val="24"/>
          <w:szCs w:val="24"/>
          <w:rtl w:val="0"/>
        </w:rPr>
        <w:t xml:space="preserve">Esta edición ampliada del paper-manifiesto «La red como derecho» incorpora, a las tres dimensiones añadidas en la segunda edición —telefonía móvil y convergencia, acceso al conocimiento científico, y universalidad de las medidas—, una cuarta dimensión transversal que las recorre todas: la perspectiva de género y la interseccionalidad como ejes de análisis de la brecha digital. La edición anterior documentó que la brecha afecta de forma especialmente grave a los hogares del cuartil de renta más bajo, a los territorios rurales, a las personas mayores y a los niños sin conectividad. Esta edición va un paso más allá: la brecha no es solo económica, territorial o generacional. Es también de género.</w:t>
      </w:r>
      <w:r w:rsidDel="00000000" w:rsidR="00000000" w:rsidRPr="00000000">
        <w:rPr>
          <w:rtl w:val="0"/>
        </w:rPr>
      </w:r>
    </w:p>
    <w:p w:rsidR="00000000" w:rsidDel="00000000" w:rsidP="00000000" w:rsidRDefault="00000000" w:rsidRPr="00000000" w14:paraId="0000000B">
      <w:pPr>
        <w:spacing w:after="160" w:before="80" w:lineRule="auto"/>
        <w:jc w:val="both"/>
        <w:rPr/>
      </w:pPr>
      <w:r w:rsidDel="00000000" w:rsidR="00000000" w:rsidRPr="00000000">
        <w:rPr>
          <w:sz w:val="24"/>
          <w:szCs w:val="24"/>
          <w:rtl w:val="0"/>
        </w:rPr>
        <w:t xml:space="preserve">Los datos del INE (2024), del ONTSI (2024) y del EIGE (2024) muestran que las mujeres —especialmente las mayores, las que viven en zonas rurales, las de origen migratorio y las de bajo nivel educativo— acumulan desventajas digitales que no se capturan cuando se analiza solo la variable económica o territorial. Una mujer mayor, migrante, con estudios primarios, que vive en un municipio rural de menos de 5.000 habitantes, no tiene simplemente «dificultades de acceso»: tiene barreras estructurales superpuestas que ninguna medida universal por sí sola puede deshacer. Esta es la tesis central del Capítulo 9 y de los nuevos subapartados incorporados en los capítulos previos.</w:t>
      </w:r>
      <w:r w:rsidDel="00000000" w:rsidR="00000000" w:rsidRPr="00000000">
        <w:rPr>
          <w:rtl w:val="0"/>
        </w:rPr>
      </w:r>
    </w:p>
    <w:p w:rsidR="00000000" w:rsidDel="00000000" w:rsidP="00000000" w:rsidRDefault="00000000" w:rsidRPr="00000000" w14:paraId="0000000C">
      <w:pPr>
        <w:spacing w:after="160" w:before="80" w:lineRule="auto"/>
        <w:jc w:val="both"/>
        <w:rPr/>
      </w:pPr>
      <w:r w:rsidDel="00000000" w:rsidR="00000000" w:rsidRPr="00000000">
        <w:rPr>
          <w:sz w:val="24"/>
          <w:szCs w:val="24"/>
          <w:rtl w:val="0"/>
        </w:rPr>
        <w:t xml:space="preserve">El paper mantiene su arquitectura de ocho capítulos, prefacio y apéndices, añade el Capítulo 9 («Género, interseccionalidad y ciclo vital: la brecha digital que no se ve»), inserta nuevos subapartados con perspectiva de género en los capítulos 2, 3, 4, 5 y 6, actualiza las tablas del apéndice con datos desagregados por género, edad, nivel educativo y territorio, e incorpora diez nuevas referencias académicas sobre género digital e interseccionalidad.</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PREFACIO: LA INFRAESTRUCTURA INVISIBLE</w:t>
      </w:r>
    </w:p>
    <w:p w:rsidR="00000000" w:rsidDel="00000000" w:rsidP="00000000" w:rsidRDefault="00000000" w:rsidRPr="00000000" w14:paraId="0000000F">
      <w:pPr>
        <w:spacing w:after="160" w:before="80" w:lineRule="auto"/>
        <w:jc w:val="both"/>
        <w:rPr/>
      </w:pPr>
      <w:r w:rsidDel="00000000" w:rsidR="00000000" w:rsidRPr="00000000">
        <w:rPr>
          <w:sz w:val="24"/>
          <w:szCs w:val="24"/>
          <w:rtl w:val="0"/>
        </w:rPr>
        <w:t xml:space="preserve">Hay infraestructuras que se notan cuando faltan. El agua, cuando se corta, detiene la vida en pocas horas. La electricidad, cuando se va, reduce el mundo a sus dimensiones más elementales. La telefonía, cuando no existe, aisla. Durante décadas, el Estado español reconoció estas realidades y las tradujo en obligaciones legales, en servicios universales, en derechos exigibles. Construyó una arquitectura normativa que protegía al ciudadano del mercado cuando el mercado no llegaba o llegaba solo para quien podía pagarlo.</w:t>
      </w:r>
      <w:r w:rsidDel="00000000" w:rsidR="00000000" w:rsidRPr="00000000">
        <w:rPr>
          <w:rtl w:val="0"/>
        </w:rPr>
      </w:r>
    </w:p>
    <w:p w:rsidR="00000000" w:rsidDel="00000000" w:rsidP="00000000" w:rsidRDefault="00000000" w:rsidRPr="00000000" w14:paraId="00000010">
      <w:pPr>
        <w:spacing w:after="160" w:before="80" w:lineRule="auto"/>
        <w:jc w:val="both"/>
        <w:rPr/>
      </w:pPr>
      <w:r w:rsidDel="00000000" w:rsidR="00000000" w:rsidRPr="00000000">
        <w:rPr>
          <w:sz w:val="24"/>
          <w:szCs w:val="24"/>
          <w:rtl w:val="0"/>
        </w:rPr>
        <w:t xml:space="preserve">Internet es hoy esa infraestructura. Y, sin embargo, sigue sin estar formalmente garantizada como derecho básico.</w:t>
      </w:r>
      <w:r w:rsidDel="00000000" w:rsidR="00000000" w:rsidRPr="00000000">
        <w:rPr>
          <w:rtl w:val="0"/>
        </w:rPr>
      </w:r>
    </w:p>
    <w:p w:rsidR="00000000" w:rsidDel="00000000" w:rsidP="00000000" w:rsidRDefault="00000000" w:rsidRPr="00000000" w14:paraId="00000011">
      <w:pPr>
        <w:spacing w:after="160" w:before="80" w:lineRule="auto"/>
        <w:jc w:val="both"/>
        <w:rPr/>
      </w:pPr>
      <w:r w:rsidDel="00000000" w:rsidR="00000000" w:rsidRPr="00000000">
        <w:rPr>
          <w:sz w:val="24"/>
          <w:szCs w:val="24"/>
          <w:rtl w:val="0"/>
        </w:rPr>
        <w:t xml:space="preserve">La telefonía fue la primera lección. Cuando el Estado reconoció, hace décadas, que el teléfono no era un artículo de lujo sino un instrumento de ciudadanía, sentó un precedente que este paper invoca y extiende. El teléfono fijo dio paso al móvil. El móvil se convirtió en el ordenador de bolsillo que hoy es simultáneamente agenda, banco, médico, biblioteca y plaza pública para millones de personas. Esa convergencia no es un detalle técnico: es una transformación estructural de lo que significa estar conectado, y obliga a reformular desde cero qué entendemos por servicio universal de telecomunicaciones.</w:t>
      </w:r>
      <w:r w:rsidDel="00000000" w:rsidR="00000000" w:rsidRPr="00000000">
        <w:rPr>
          <w:rtl w:val="0"/>
        </w:rPr>
      </w:r>
    </w:p>
    <w:p w:rsidR="00000000" w:rsidDel="00000000" w:rsidP="00000000" w:rsidRDefault="00000000" w:rsidRPr="00000000" w14:paraId="00000012">
      <w:pPr>
        <w:spacing w:after="160" w:before="80" w:lineRule="auto"/>
        <w:jc w:val="both"/>
        <w:rPr/>
      </w:pPr>
      <w:r w:rsidDel="00000000" w:rsidR="00000000" w:rsidRPr="00000000">
        <w:rPr>
          <w:sz w:val="24"/>
          <w:szCs w:val="24"/>
          <w:rtl w:val="0"/>
        </w:rPr>
        <w:t xml:space="preserve">Esta tercera edición añade una cuarta capa al argumento: la brecha digital no es neutra. Está atravesada por relaciones de poder, roles de género y divisiones sexuales del trabajo que se reproducen en el espacio digital. Las mujeres mayores que no saben usar el smartphone. Las jóvenes migrantes que no tienen acceso a formación digital. Las niñas a las que se aleja de las vocaciones STEM desde la infancia. La infraestructura invisible tiene también un mapa de género que este paper se propone trazar.</w:t>
      </w:r>
      <w:r w:rsidDel="00000000" w:rsidR="00000000" w:rsidRPr="00000000">
        <w:rPr>
          <w:rtl w:val="0"/>
        </w:rPr>
      </w:r>
    </w:p>
    <w:p w:rsidR="00000000" w:rsidDel="00000000" w:rsidP="00000000" w:rsidRDefault="00000000" w:rsidRPr="00000000" w14:paraId="00000013">
      <w:pPr>
        <w:spacing w:after="160" w:before="80" w:lineRule="auto"/>
        <w:jc w:val="both"/>
        <w:rPr/>
      </w:pPr>
      <w:r w:rsidDel="00000000" w:rsidR="00000000" w:rsidRPr="00000000">
        <w:rPr>
          <w:sz w:val="24"/>
          <w:szCs w:val="24"/>
          <w:rtl w:val="0"/>
        </w:rPr>
        <w:t xml:space="preserve">El argumento se despliega. La urgencia no ha disminuido. La firma no cambia.</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CAPÍTULO 1. ANTECEDENTES NORMATIVOS: DEL SERVICIO UNIVERSAL A LA BANDA ANCHA</w:t>
      </w:r>
    </w:p>
    <w:p w:rsidR="00000000" w:rsidDel="00000000" w:rsidP="00000000" w:rsidRDefault="00000000" w:rsidRPr="00000000" w14:paraId="00000016">
      <w:pPr>
        <w:pStyle w:val="Heading2"/>
        <w:rPr/>
      </w:pPr>
      <w:r w:rsidDel="00000000" w:rsidR="00000000" w:rsidRPr="00000000">
        <w:rPr>
          <w:rtl w:val="0"/>
        </w:rPr>
        <w:t xml:space="preserve">1.1. El concepto de servicio universal en telecomunicaciones</w:t>
      </w:r>
    </w:p>
    <w:p w:rsidR="00000000" w:rsidDel="00000000" w:rsidP="00000000" w:rsidRDefault="00000000" w:rsidRPr="00000000" w14:paraId="00000017">
      <w:pPr>
        <w:spacing w:after="160" w:before="80" w:lineRule="auto"/>
        <w:jc w:val="both"/>
        <w:rPr/>
      </w:pPr>
      <w:r w:rsidDel="00000000" w:rsidR="00000000" w:rsidRPr="00000000">
        <w:rPr>
          <w:sz w:val="24"/>
          <w:szCs w:val="24"/>
          <w:rtl w:val="0"/>
        </w:rPr>
        <w:t xml:space="preserve">El concepto de servicio universal en telecomunicaciones tiene su origen en la tradición regulatoria anglosajona y fue codificado en el derecho europeo a través del paquete de directivas de telecomunicaciones de 2002. La Directiva 2002/22/CE, conocida como Directiva de Servicio Universal, estableció la obligación de los Estados miembros de garantizar que todos los usuarios finales de su territorio tuvieran acceso a un conjunto mínimo de servicios de telecomunicaciones de calidad especificada a un precio asequible, con independencia de su localización geográfica.</w:t>
      </w:r>
      <w:r w:rsidDel="00000000" w:rsidR="00000000" w:rsidRPr="00000000">
        <w:rPr>
          <w:rtl w:val="0"/>
        </w:rPr>
      </w:r>
    </w:p>
    <w:p w:rsidR="00000000" w:rsidDel="00000000" w:rsidP="00000000" w:rsidRDefault="00000000" w:rsidRPr="00000000" w14:paraId="00000018">
      <w:pPr>
        <w:spacing w:after="160" w:before="80" w:lineRule="auto"/>
        <w:jc w:val="both"/>
        <w:rPr/>
      </w:pPr>
      <w:r w:rsidDel="00000000" w:rsidR="00000000" w:rsidRPr="00000000">
        <w:rPr>
          <w:sz w:val="24"/>
          <w:szCs w:val="24"/>
          <w:rtl w:val="0"/>
        </w:rPr>
        <w:t xml:space="preserve">La filosofía subyacente a este concepto es de naturaleza mixta: combina la lógica redistributiva del Estado de bienestar —garantía de servicios básicos para todos— con la lógica regulatoria liberal —intervención mínima y financiación mediante mecanismos de mercado cuando sea posible—. El servicio universal no es una nacionalización de las telecomunicaciones; es una obligación de servicio impuesta a los operadores para corregir los fallos de mercado que impedirían la provisión universal en condiciones puramente competitivas.</w:t>
      </w:r>
      <w:r w:rsidDel="00000000" w:rsidR="00000000" w:rsidRPr="00000000">
        <w:rPr>
          <w:rtl w:val="0"/>
        </w:rPr>
      </w:r>
    </w:p>
    <w:p w:rsidR="00000000" w:rsidDel="00000000" w:rsidP="00000000" w:rsidRDefault="00000000" w:rsidRPr="00000000" w14:paraId="00000019">
      <w:pPr>
        <w:spacing w:after="160" w:before="80" w:lineRule="auto"/>
        <w:jc w:val="both"/>
        <w:rPr/>
      </w:pPr>
      <w:r w:rsidDel="00000000" w:rsidR="00000000" w:rsidRPr="00000000">
        <w:rPr>
          <w:sz w:val="24"/>
          <w:szCs w:val="24"/>
          <w:rtl w:val="0"/>
        </w:rPr>
        <w:t xml:space="preserve">En España, la transposición de la Directiva se realizó mediante la Ley 32/2003, General de Telecomunicaciones. La ley definió el servicio universal como el conjunto definido de servicios de telecomunicaciones con una calidad determinada, accesibles a todos los usuarios con independencia de su localización geográfica, a un precio asequible. Este mandato incluía originalmente la conexión a la red telefónica pública desde una ubicación fija, la prestación del servicio telefónico disponible al público, la disponibilidad de información sobre números de abonados, teléfonos públicos de pago en todo el territorio nacional y servicios específicos para usuarios con discapacidad.</w:t>
      </w:r>
      <w:r w:rsidDel="00000000" w:rsidR="00000000" w:rsidRPr="00000000">
        <w:rPr>
          <w:rtl w:val="0"/>
        </w:rPr>
      </w:r>
    </w:p>
    <w:p w:rsidR="00000000" w:rsidDel="00000000" w:rsidP="00000000" w:rsidRDefault="00000000" w:rsidRPr="00000000" w14:paraId="0000001A">
      <w:pPr>
        <w:spacing w:after="160" w:before="80" w:lineRule="auto"/>
        <w:jc w:val="both"/>
        <w:rPr/>
      </w:pPr>
      <w:r w:rsidDel="00000000" w:rsidR="00000000" w:rsidRPr="00000000">
        <w:rPr>
          <w:sz w:val="24"/>
          <w:szCs w:val="24"/>
          <w:rtl w:val="0"/>
        </w:rPr>
        <w:t xml:space="preserve">Lo que llama la atención al revisitar estos textos desde el presente es la ausencia de cualquier referencia a internet. En 2003, el acceso a internet mediante banda ancha era todavía una promesa tecnológica en curso de cumplimiento. La omisión era, en aquellos años, comprensible. Lo que no es comprensible es que tardáramos casi dos décadas más en dar el paso siguiente.</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1.2. La Ley de Economía Sostenible (2011) y el Real Decreto 726/2011</w:t>
      </w:r>
    </w:p>
    <w:p w:rsidR="00000000" w:rsidDel="00000000" w:rsidP="00000000" w:rsidRDefault="00000000" w:rsidRPr="00000000" w14:paraId="0000001C">
      <w:pPr>
        <w:spacing w:after="160" w:before="80" w:lineRule="auto"/>
        <w:jc w:val="both"/>
        <w:rPr/>
      </w:pPr>
      <w:r w:rsidDel="00000000" w:rsidR="00000000" w:rsidRPr="00000000">
        <w:rPr>
          <w:sz w:val="24"/>
          <w:szCs w:val="24"/>
          <w:rtl w:val="0"/>
        </w:rPr>
        <w:t xml:space="preserve">El primer reconocimiento formal de la banda ancha como elemento del servicio universal en España llegó con la Ley 2/2011, de 4 de marzo, de Economía Sostenible, y su desarrollo reglamentario a través del Real Decreto 726/2011, de 20 de mayo. Ambas normas modificaron el Reglamento sobre las condiciones para la prestación de servicios de comunicaciones electrónicas, el servicio universal y la protección de los usuarios, incorporando el acceso funcional a internet al catálogo de servicios mínimos garantizados.</w:t>
      </w:r>
      <w:r w:rsidDel="00000000" w:rsidR="00000000" w:rsidRPr="00000000">
        <w:rPr>
          <w:rtl w:val="0"/>
        </w:rPr>
      </w:r>
    </w:p>
    <w:p w:rsidR="00000000" w:rsidDel="00000000" w:rsidP="00000000" w:rsidRDefault="00000000" w:rsidRPr="00000000" w14:paraId="0000001D">
      <w:pPr>
        <w:spacing w:after="160" w:before="80" w:lineRule="auto"/>
        <w:jc w:val="both"/>
        <w:rPr/>
      </w:pPr>
      <w:r w:rsidDel="00000000" w:rsidR="00000000" w:rsidRPr="00000000">
        <w:rPr>
          <w:sz w:val="24"/>
          <w:szCs w:val="24"/>
          <w:rtl w:val="0"/>
        </w:rPr>
        <w:t xml:space="preserve">El Real Decreto 726/2011 estableció que el servicio universal incluiría la prestación del servicio de acceso funcional a internet desde una ubicación fija, pero remitía la determinación de la velocidad mínima a un desarrollo posterior, lo que en la práctica dilató indefinidamente la operatividad del mandato. La velocidad entonces discutida —1 Mbps— era ya insuficiente en 2011 para cualquier uso educativo o profesional medianamente exigente.</w:t>
      </w:r>
      <w:r w:rsidDel="00000000" w:rsidR="00000000" w:rsidRPr="00000000">
        <w:rPr>
          <w:rtl w:val="0"/>
        </w:rPr>
      </w:r>
    </w:p>
    <w:p w:rsidR="00000000" w:rsidDel="00000000" w:rsidP="00000000" w:rsidRDefault="00000000" w:rsidRPr="00000000" w14:paraId="0000001E">
      <w:pPr>
        <w:spacing w:after="160" w:before="80" w:lineRule="auto"/>
        <w:jc w:val="both"/>
        <w:rPr/>
      </w:pPr>
      <w:r w:rsidDel="00000000" w:rsidR="00000000" w:rsidRPr="00000000">
        <w:rPr>
          <w:sz w:val="24"/>
          <w:szCs w:val="24"/>
          <w:rtl w:val="0"/>
        </w:rPr>
        <w:t xml:space="preserve">Esta historia regulatoria ilustra un patrón recurrente en el derecho de las telecomunicaciones: el reconocimiento formal de derechos no garantiza su efectividad cuando los umbrales de calidad quedan desactualizados respecto al estándar técnico real. Un derecho a internet a 1 Mbps en 2011 equivalía a un derecho a la movilidad que garantizara un carro de bueyes cuando el estándar social era ya el automóvil.</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1.3. La Ley General de Telecomunicaciones (2022)</w:t>
      </w:r>
    </w:p>
    <w:p w:rsidR="00000000" w:rsidDel="00000000" w:rsidP="00000000" w:rsidRDefault="00000000" w:rsidRPr="00000000" w14:paraId="00000020">
      <w:pPr>
        <w:spacing w:after="160" w:before="80" w:lineRule="auto"/>
        <w:jc w:val="both"/>
        <w:rPr/>
      </w:pPr>
      <w:r w:rsidDel="00000000" w:rsidR="00000000" w:rsidRPr="00000000">
        <w:rPr>
          <w:sz w:val="24"/>
          <w:szCs w:val="24"/>
          <w:rtl w:val="0"/>
        </w:rPr>
        <w:t xml:space="preserve">La Ley 11/2022, de 28 de junio, General de Telecomunicaciones, representó una actualización sustancial del marco regulatorio y transpuso al derecho español la Directiva (UE) 2018/1972 del Parlamento Europeo y del Consejo —el Código Europeo de Comunicaciones Electrónicas—. La nueva ley introdujo cambios relevantes en el régimen del servicio universal y en los derechos de los usuarios.</w:t>
      </w:r>
      <w:r w:rsidDel="00000000" w:rsidR="00000000" w:rsidRPr="00000000">
        <w:rPr>
          <w:rtl w:val="0"/>
        </w:rPr>
      </w:r>
    </w:p>
    <w:p w:rsidR="00000000" w:rsidDel="00000000" w:rsidP="00000000" w:rsidRDefault="00000000" w:rsidRPr="00000000" w14:paraId="00000021">
      <w:pPr>
        <w:spacing w:after="160" w:before="80" w:lineRule="auto"/>
        <w:jc w:val="both"/>
        <w:rPr/>
      </w:pPr>
      <w:r w:rsidDel="00000000" w:rsidR="00000000" w:rsidRPr="00000000">
        <w:rPr>
          <w:sz w:val="24"/>
          <w:szCs w:val="24"/>
          <w:rtl w:val="0"/>
        </w:rPr>
        <w:t xml:space="preserve">En materia de servicio universal, la LGT de 2022 amplió el catálogo de servicios mínimos garantizados e incorporó explícitamente el acceso adecuado a internet mediante banda ancha. La ley estableció que todos los usuarios finales en España tendrían derecho a acceder a un servicio de acceso a internet adecuado a un precio asequible, y encomendó al Gobierno la determinación de los parámetros técnicos de calidad mínima, con capacidad de actualización periódica.</w:t>
      </w:r>
      <w:r w:rsidDel="00000000" w:rsidR="00000000" w:rsidRPr="00000000">
        <w:rPr>
          <w:rtl w:val="0"/>
        </w:rPr>
      </w:r>
    </w:p>
    <w:p w:rsidR="00000000" w:rsidDel="00000000" w:rsidP="00000000" w:rsidRDefault="00000000" w:rsidRPr="00000000" w14:paraId="00000022">
      <w:pPr>
        <w:spacing w:after="160" w:before="80" w:lineRule="auto"/>
        <w:jc w:val="both"/>
        <w:rPr/>
      </w:pPr>
      <w:r w:rsidDel="00000000" w:rsidR="00000000" w:rsidRPr="00000000">
        <w:rPr>
          <w:sz w:val="24"/>
          <w:szCs w:val="24"/>
          <w:rtl w:val="0"/>
        </w:rPr>
        <w:t xml:space="preserve">El texto también reforzó los mecanismos de protección de los usuarios vulnerables, introduciendo la obligación de los operadores de ofrecer tarifas sociales a los colectivos con menor capacidad económica. Sin embargo, incluso esta actualización normativa contiene limitaciones significativas: la efectividad del mandato depende de la determinación administrativa de parámetros técnicos y criterios de asequibilidad que siguen siendo objeto de negociación, y los mecanismos de identificación y alcance a los beneficiarios potenciales son insuficientes para garantizar una cobertura real.</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1.4. El papel de la Comisión Europea y los fondos Next Generation EU</w:t>
      </w:r>
    </w:p>
    <w:p w:rsidR="00000000" w:rsidDel="00000000" w:rsidP="00000000" w:rsidRDefault="00000000" w:rsidRPr="00000000" w14:paraId="00000024">
      <w:pPr>
        <w:spacing w:after="160" w:before="80" w:lineRule="auto"/>
        <w:jc w:val="both"/>
        <w:rPr/>
      </w:pPr>
      <w:r w:rsidDel="00000000" w:rsidR="00000000" w:rsidRPr="00000000">
        <w:rPr>
          <w:sz w:val="24"/>
          <w:szCs w:val="24"/>
          <w:rtl w:val="0"/>
        </w:rPr>
        <w:t xml:space="preserve">El marco europeo ha evolucionado de forma significativa, impulsado por la Brújula Digital 2030, que establece como objetivo que para ese año todas las familias europeas tengan acceso a conectividad de gigabit y que el 90% de los hogares estén cubiertos por redes 5G. El Plan de Recuperación, Transformación y Resiliencia español (PRTR) incluyó el Componente 15 dedicado a la conectividad digital, con inversiones previstas para el despliegue de redes de muy alta capacidad en zonas rurales y para la formación en competencias digitales.</w:t>
      </w:r>
      <w:r w:rsidDel="00000000" w:rsidR="00000000" w:rsidRPr="00000000">
        <w:rPr>
          <w:rtl w:val="0"/>
        </w:rPr>
      </w:r>
    </w:p>
    <w:p w:rsidR="00000000" w:rsidDel="00000000" w:rsidP="00000000" w:rsidRDefault="00000000" w:rsidRPr="00000000" w14:paraId="00000025">
      <w:pPr>
        <w:spacing w:after="160" w:before="80" w:lineRule="auto"/>
        <w:jc w:val="both"/>
        <w:rPr/>
      </w:pPr>
      <w:r w:rsidDel="00000000" w:rsidR="00000000" w:rsidRPr="00000000">
        <w:rPr>
          <w:sz w:val="24"/>
          <w:szCs w:val="24"/>
          <w:rtl w:val="0"/>
        </w:rPr>
        <w:t xml:space="preserve">El informe DESI 2024 (European Commission, 2024) sitúa a España en el grupo de países con progreso significativo en conectividad, pero señala que las brechas internas —por renta, edad, territorio y género— siguen siendo sustanciales y que las políticas de inclusión digital no han avanzado al mismo ritmo que la extensión de la cobertura. España ocupa el puesto 14 de 27 en el índice de capital humano digital del DESI, lo que refleja las limitaciones estructurales en competencias digitales, especialmente entre los grupos más vulnerables.</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1.5. El retraso en la implementación</w:t>
      </w:r>
    </w:p>
    <w:p w:rsidR="00000000" w:rsidDel="00000000" w:rsidP="00000000" w:rsidRDefault="00000000" w:rsidRPr="00000000" w14:paraId="00000027">
      <w:pPr>
        <w:spacing w:after="160" w:before="80" w:lineRule="auto"/>
        <w:jc w:val="both"/>
        <w:rPr/>
      </w:pPr>
      <w:r w:rsidDel="00000000" w:rsidR="00000000" w:rsidRPr="00000000">
        <w:rPr>
          <w:sz w:val="24"/>
          <w:szCs w:val="24"/>
          <w:rtl w:val="0"/>
        </w:rPr>
        <w:t xml:space="preserve">El balance normativo es el de un reconocimiento tardío, parcial e insuficientemente operativo. España ha ido incorporando la banda ancha al servicio universal con un retraso sistemático respecto a la evolución tecnológica y a las necesidades reales de la población. Este patrón de retraso sistemático refleja la asimetría de poder entre los intereses de los operadores de telecomunicaciones y los intereses de los ciudadanos más vulnerables.</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1.6. [NUEVO] La telefonía móvil y la convergencia</w:t>
      </w:r>
    </w:p>
    <w:p w:rsidR="00000000" w:rsidDel="00000000" w:rsidP="00000000" w:rsidRDefault="00000000" w:rsidRPr="00000000" w14:paraId="00000029">
      <w:pPr>
        <w:spacing w:after="160" w:before="80" w:lineRule="auto"/>
        <w:jc w:val="both"/>
        <w:rPr/>
      </w:pPr>
      <w:r w:rsidDel="00000000" w:rsidR="00000000" w:rsidRPr="00000000">
        <w:rPr>
          <w:sz w:val="24"/>
          <w:szCs w:val="24"/>
          <w:rtl w:val="0"/>
        </w:rPr>
        <w:t xml:space="preserve">La telefonía móvil nació fuera del ámbito del servicio universal. En sus orígenes —finales de los años ochenta y la primera mitad de los noventa—, se la consideró un servicio de lujo reservado a ejecutivos y profesionales de alto poder adquisitivo. Treinta años después, esa distinción ha quedado completamente invertida. El móvil ha pasado a ser el dispositivo universal de comunicación, trabajo, ocio, salud y participación cívica.</w:t>
      </w:r>
      <w:r w:rsidDel="00000000" w:rsidR="00000000" w:rsidRPr="00000000">
        <w:rPr>
          <w:rtl w:val="0"/>
        </w:rPr>
      </w:r>
    </w:p>
    <w:p w:rsidR="00000000" w:rsidDel="00000000" w:rsidP="00000000" w:rsidRDefault="00000000" w:rsidRPr="00000000" w14:paraId="0000002A">
      <w:pPr>
        <w:spacing w:after="160" w:before="80" w:lineRule="auto"/>
        <w:jc w:val="both"/>
        <w:rPr/>
      </w:pPr>
      <w:r w:rsidDel="00000000" w:rsidR="00000000" w:rsidRPr="00000000">
        <w:rPr>
          <w:sz w:val="24"/>
          <w:szCs w:val="24"/>
          <w:rtl w:val="0"/>
        </w:rPr>
        <w:t xml:space="preserve">Lo que los datos añaden a este diagnóstico cuando se desagregan por género es revelador: las mujeres mayores son el grupo con menor tasa de smartphone y menor uso de datos móviles, pero también el grupo con mayor necesidad de conectividad para compensar su mayor riesgo de soledad y su mayor dependencia de los servicios de salud (Haenssgen &amp; Ariana, 2022). La convergencia entre telefonía y datos no es una cuestión técnica neutra; es una cuestión de derechos con un perfil de género muy definido.</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CAPÍTULO 2. LA BRECHA DIGITAL COMO FACTOR DE EXCLUSIÓN SOCIAL</w:t>
      </w:r>
    </w:p>
    <w:p w:rsidR="00000000" w:rsidDel="00000000" w:rsidP="00000000" w:rsidRDefault="00000000" w:rsidRPr="00000000" w14:paraId="0000002D">
      <w:pPr>
        <w:pStyle w:val="Heading2"/>
        <w:rPr/>
      </w:pPr>
      <w:r w:rsidDel="00000000" w:rsidR="00000000" w:rsidRPr="00000000">
        <w:rPr>
          <w:rtl w:val="0"/>
        </w:rPr>
        <w:t xml:space="preserve">2.1. Magnitud y evolución de la brecha digital en España</w:t>
      </w:r>
    </w:p>
    <w:p w:rsidR="00000000" w:rsidDel="00000000" w:rsidP="00000000" w:rsidRDefault="00000000" w:rsidRPr="00000000" w14:paraId="0000002E">
      <w:pPr>
        <w:spacing w:after="160" w:before="80" w:lineRule="auto"/>
        <w:jc w:val="both"/>
        <w:rPr/>
      </w:pPr>
      <w:r w:rsidDel="00000000" w:rsidR="00000000" w:rsidRPr="00000000">
        <w:rPr>
          <w:sz w:val="24"/>
          <w:szCs w:val="24"/>
          <w:rtl w:val="0"/>
        </w:rPr>
        <w:t xml:space="preserve">Según la Encuesta sobre Equipamiento y Uso de Tecnologías de Información y Comunicación en los Hogares del INE (2024), el 96,2% de los hogares españoles disponía de acceso a internet. Esta cifra, aparentemente satisfactoria, esconde disparidades profundas que solo se revelan cuando se desagrega por renta, territorio, edad y —como muestra esta edición ampliada— por género.</w:t>
      </w:r>
      <w:r w:rsidDel="00000000" w:rsidR="00000000" w:rsidRPr="00000000">
        <w:rPr>
          <w:rtl w:val="0"/>
        </w:rPr>
      </w:r>
    </w:p>
    <w:p w:rsidR="00000000" w:rsidDel="00000000" w:rsidP="00000000" w:rsidRDefault="00000000" w:rsidRPr="00000000" w14:paraId="0000002F">
      <w:pPr>
        <w:spacing w:after="160" w:before="80" w:lineRule="auto"/>
        <w:jc w:val="both"/>
        <w:rPr/>
      </w:pPr>
      <w:r w:rsidDel="00000000" w:rsidR="00000000" w:rsidRPr="00000000">
        <w:rPr>
          <w:sz w:val="24"/>
          <w:szCs w:val="24"/>
          <w:rtl w:val="0"/>
        </w:rPr>
        <w:t xml:space="preserve">La brecha de renta es la más documentada: la tasa de acceso en el cuartil más rico supera el 99,5%, mientras que en el cuartil más pobre cae hasta el 84,3%. Pero la brecha territorial es igualmente significativa: en municipios de menos de 10.000 habitantes, la conectividad de calidad suficiente para el trabajo o la educación a distancia alcanza solo al 71,2% de los hogares. Y cuando se superponen renta baja, territorio rural y edad avanzada —y género femenino—, la exclusión digital se convierte en exclusión múltiple.</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2.2. Tipología de la brecha: acceso, uso y competencias</w:t>
      </w:r>
    </w:p>
    <w:p w:rsidR="00000000" w:rsidDel="00000000" w:rsidP="00000000" w:rsidRDefault="00000000" w:rsidRPr="00000000" w14:paraId="00000031">
      <w:pPr>
        <w:spacing w:after="160" w:before="80" w:lineRule="auto"/>
        <w:jc w:val="both"/>
        <w:rPr/>
      </w:pPr>
      <w:r w:rsidDel="00000000" w:rsidR="00000000" w:rsidRPr="00000000">
        <w:rPr>
          <w:sz w:val="24"/>
          <w:szCs w:val="24"/>
          <w:rtl w:val="0"/>
        </w:rPr>
        <w:t xml:space="preserve">La literatura especializada distingue tres niveles de brecha digital (van Deursen &amp; Helsper, 2015). El primer nivel —brecha de acceso— se refiere a si el individuo dispone de la infraestructura física y económica para conectarse. El segundo nivel —brecha de uso— analiza las diferencias en cómo se utiliza internet: los usuarios de menor nivel socioeconómico tienden a concentrar su uso en ocio y comunicación, mientras que los de mayor nivel explotan internet para formación, empleo y gestión de activos. El tercer nivel —brecha de resultados— mide si el uso de internet produce beneficios tangibles en términos de capital económico, social o cultural.</w:t>
      </w:r>
      <w:r w:rsidDel="00000000" w:rsidR="00000000" w:rsidRPr="00000000">
        <w:rPr>
          <w:rtl w:val="0"/>
        </w:rPr>
      </w:r>
    </w:p>
    <w:p w:rsidR="00000000" w:rsidDel="00000000" w:rsidP="00000000" w:rsidRDefault="00000000" w:rsidRPr="00000000" w14:paraId="00000032">
      <w:pPr>
        <w:spacing w:after="160" w:before="80" w:lineRule="auto"/>
        <w:jc w:val="both"/>
        <w:rPr/>
      </w:pPr>
      <w:r w:rsidDel="00000000" w:rsidR="00000000" w:rsidRPr="00000000">
        <w:rPr>
          <w:sz w:val="24"/>
          <w:szCs w:val="24"/>
          <w:rtl w:val="0"/>
        </w:rPr>
        <w:t xml:space="preserve">Esta taxonomía tiene un correlato de género sistemático. Castaño (2008) acuñó el concepto de «segunda brecha digital» para describir precisamente este fenómeno: incluso cuando las mujeres tienen acceso a internet, lo usan de formas distintas que los hombres —más comunicación, menos producción de contenidos; más consumo de servicios, menos desarrollo de competencias técnicas— y obtienen menores beneficios laborales y económicos de ese uso.</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2.3. [NUEVO] Brecha de género en competencias digitales</w:t>
      </w:r>
    </w:p>
    <w:p w:rsidR="00000000" w:rsidDel="00000000" w:rsidP="00000000" w:rsidRDefault="00000000" w:rsidRPr="00000000" w14:paraId="00000034">
      <w:pPr>
        <w:spacing w:after="160" w:before="80" w:lineRule="auto"/>
        <w:jc w:val="both"/>
        <w:rPr/>
      </w:pPr>
      <w:r w:rsidDel="00000000" w:rsidR="00000000" w:rsidRPr="00000000">
        <w:rPr>
          <w:sz w:val="24"/>
          <w:szCs w:val="24"/>
          <w:rtl w:val="0"/>
        </w:rPr>
        <w:t xml:space="preserve">El análisis de género en las competencias digitales revela un patrón consistente en todos los grupos de edad, aunque con variaciones significativas. Según el EIGE (2024), España presenta una brecha de género en el índice de competencias digitales del 8,3 puntos porcentuales, por encima de la media europea (6,1 puntos). Esta brecha se ensancha en las cohortes de mayor edad y en los territorios rurales, y se estrecha —aunque no desaparece— entre la población joven con educación superior.</w:t>
      </w:r>
      <w:r w:rsidDel="00000000" w:rsidR="00000000" w:rsidRPr="00000000">
        <w:rPr>
          <w:rtl w:val="0"/>
        </w:rPr>
      </w:r>
    </w:p>
    <w:p w:rsidR="00000000" w:rsidDel="00000000" w:rsidP="00000000" w:rsidRDefault="00000000" w:rsidRPr="00000000" w14:paraId="00000035">
      <w:pPr>
        <w:spacing w:after="160" w:before="80" w:lineRule="auto"/>
        <w:jc w:val="both"/>
        <w:rPr/>
      </w:pPr>
      <w:r w:rsidDel="00000000" w:rsidR="00000000" w:rsidRPr="00000000">
        <w:rPr>
          <w:sz w:val="24"/>
          <w:szCs w:val="24"/>
          <w:rtl w:val="0"/>
        </w:rPr>
        <w:t xml:space="preserve">Los datos del ONTSI (2024) muestran que el 67,4% de los hombres españoles se autovalora con competencias digitales básicas o superiores, frente al 58,9% de las mujeres. Pero la autopercepción subestima la brecha real: cuando se mide con pruebas objetivas, la diferencia es aún mayor en áreas como programación, seguridad digital y uso de herramientas de productividad. La Fundación Telefónica (2025) señala que la brecha de competencias se ha mantenido relativamente estable en la última década a pesar de la creciente digitalización, lo que sugiere que no es un efecto de cohorte sino un resultado de procesos de socialización diferenciada.</w:t>
      </w:r>
      <w:r w:rsidDel="00000000" w:rsidR="00000000" w:rsidRPr="00000000">
        <w:rPr>
          <w:rtl w:val="0"/>
        </w:rPr>
      </w:r>
    </w:p>
    <w:p w:rsidR="00000000" w:rsidDel="00000000" w:rsidP="00000000" w:rsidRDefault="00000000" w:rsidRPr="00000000" w14:paraId="00000036">
      <w:pPr>
        <w:spacing w:after="160" w:before="80" w:lineRule="auto"/>
        <w:jc w:val="both"/>
        <w:rPr/>
      </w:pPr>
      <w:r w:rsidDel="00000000" w:rsidR="00000000" w:rsidRPr="00000000">
        <w:rPr>
          <w:sz w:val="24"/>
          <w:szCs w:val="24"/>
          <w:rtl w:val="0"/>
        </w:rPr>
        <w:t xml:space="preserve">Wajcman (2004) argumentó que la tecnología no es un artefacto neutro: está diseñada, mayoritariamente, por hombres, para contextos masculinos, con interfaces y lenguajes que reproducen sesgos de género. Esta «masculinización del diseño tecnológico» tiene efectos prácticos sobre la experiencia de uso de las mujeres y sobre su autopercepción de competencia. Un interfaz diseñado por y para hombres no es universalmente usable, aunque se declare universal.</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2.4. Brecha territorial: rural, urbano y semirural</w:t>
      </w:r>
    </w:p>
    <w:p w:rsidR="00000000" w:rsidDel="00000000" w:rsidP="00000000" w:rsidRDefault="00000000" w:rsidRPr="00000000" w14:paraId="00000038">
      <w:pPr>
        <w:spacing w:after="160" w:before="80" w:lineRule="auto"/>
        <w:jc w:val="both"/>
        <w:rPr/>
      </w:pPr>
      <w:r w:rsidDel="00000000" w:rsidR="00000000" w:rsidRPr="00000000">
        <w:rPr>
          <w:sz w:val="24"/>
          <w:szCs w:val="24"/>
          <w:rtl w:val="0"/>
        </w:rPr>
        <w:t xml:space="preserve">La dimensión territorial de la brecha digital en España reproduce y amplifica las desigualdades de género. En las zonas rurales, la convergencia de baja cobertura de infraestructuras, menor oferta de formación digital y patrones de movilidad más limitados —que afectan desproporcionadamente a las mujeres con responsabilidades de cuidado— crea condiciones especialmente desfavorables para la inclusión digital femenina.</w:t>
      </w:r>
      <w:r w:rsidDel="00000000" w:rsidR="00000000" w:rsidRPr="00000000">
        <w:rPr>
          <w:rtl w:val="0"/>
        </w:rPr>
      </w:r>
    </w:p>
    <w:p w:rsidR="00000000" w:rsidDel="00000000" w:rsidP="00000000" w:rsidRDefault="00000000" w:rsidRPr="00000000" w14:paraId="00000039">
      <w:pPr>
        <w:spacing w:after="160" w:before="80" w:lineRule="auto"/>
        <w:jc w:val="both"/>
        <w:rPr/>
      </w:pPr>
      <w:r w:rsidDel="00000000" w:rsidR="00000000" w:rsidRPr="00000000">
        <w:rPr>
          <w:sz w:val="24"/>
          <w:szCs w:val="24"/>
          <w:rtl w:val="0"/>
        </w:rPr>
        <w:t xml:space="preserve">El ONTSI (2024) estima que la brecha de género en uso de internet es 4,2 veces mayor en municipios rurales que en municipios urbanos de más de 500.000 habitantes. La mujer rural mayor, sin estudios secundarios, es el perfil con mayor exclusión digital de España: solo el 23,7% usa internet con regularidad, frente al 91,4% de los hombres jóvenes urbanos con estudios superiores (INE, 2024).</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2.5. [NUEVO] La brecha digital en la sociedad envejecida</w:t>
      </w:r>
    </w:p>
    <w:p w:rsidR="00000000" w:rsidDel="00000000" w:rsidP="00000000" w:rsidRDefault="00000000" w:rsidRPr="00000000" w14:paraId="0000003B">
      <w:pPr>
        <w:spacing w:after="160" w:before="80" w:lineRule="auto"/>
        <w:jc w:val="both"/>
        <w:rPr/>
      </w:pPr>
      <w:r w:rsidDel="00000000" w:rsidR="00000000" w:rsidRPr="00000000">
        <w:rPr>
          <w:sz w:val="24"/>
          <w:szCs w:val="24"/>
          <w:rtl w:val="0"/>
        </w:rPr>
        <w:t xml:space="preserve">El envejecimiento de la población española tiene una dimensión digital que las políticas públicas han tardado en reconocer. España es el cuarto país más envejecido de la UE: en 2024, el 20,5% de la población superaba los 65 años, y las proyecciones del INE indican que ese porcentaje alcanzará el 29,2% en 2050. Esta tendencia hace que la brecha digital en personas mayores no sea solo un problema presente: es una bomba de relojería de exclusión social que crecerá si no se actúa de forma estructural.</w:t>
      </w:r>
      <w:r w:rsidDel="00000000" w:rsidR="00000000" w:rsidRPr="00000000">
        <w:rPr>
          <w:rtl w:val="0"/>
        </w:rPr>
      </w:r>
    </w:p>
    <w:p w:rsidR="00000000" w:rsidDel="00000000" w:rsidP="00000000" w:rsidRDefault="00000000" w:rsidRPr="00000000" w14:paraId="0000003C">
      <w:pPr>
        <w:spacing w:after="160" w:before="80" w:lineRule="auto"/>
        <w:jc w:val="both"/>
        <w:rPr/>
      </w:pPr>
      <w:r w:rsidDel="00000000" w:rsidR="00000000" w:rsidRPr="00000000">
        <w:rPr>
          <w:sz w:val="24"/>
          <w:szCs w:val="24"/>
          <w:rtl w:val="0"/>
        </w:rPr>
        <w:t xml:space="preserve">Los datos desagregados por género muestran que, dentro del grupo de mayores, las mujeres están significativamente más excluidas. A partir de los 75 años, la brecha de género en uso de internet supera los 15 puntos porcentuales. Este resultado no puede explicarse únicamente por diferencias en nivel educativo —aunque el nivel educativo de las mujeres mayores es en promedio inferior— porque persiste incluso cuando se controla por educación y nivel de renta (Lloyd &amp; Williamson, 2021).</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2.6. [NUEVO] La brecha en el acceso al conocimiento científico y educativo</w:t>
      </w:r>
    </w:p>
    <w:p w:rsidR="00000000" w:rsidDel="00000000" w:rsidP="00000000" w:rsidRDefault="00000000" w:rsidRPr="00000000" w14:paraId="0000003E">
      <w:pPr>
        <w:spacing w:after="160" w:before="80" w:lineRule="auto"/>
        <w:jc w:val="both"/>
        <w:rPr/>
      </w:pPr>
      <w:r w:rsidDel="00000000" w:rsidR="00000000" w:rsidRPr="00000000">
        <w:rPr>
          <w:sz w:val="24"/>
          <w:szCs w:val="24"/>
          <w:rtl w:val="0"/>
        </w:rPr>
        <w:t xml:space="preserve">El acceso al conocimiento científico es un derecho derivado del derecho a la educación y a la participación en la vida cultural. Sin embargo, la distribución del acceso a los repositorios académicos tiene un perfil de género muy marcado: las mujeres investigadoras en universidades con menor dotación presupuestaria —donde las suscripciones a revistas académicas son más limitadas— son las más afectadas por las barreras de pago. El modelo de publicación académica privada es, en este sentido, una variable más de la desigualdad de género en la producción científica.</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CAPÍTULO 3. LA INFANCIA COMO SUJETO DE ESPECIAL PROTECCIÓN</w:t>
      </w:r>
    </w:p>
    <w:p w:rsidR="00000000" w:rsidDel="00000000" w:rsidP="00000000" w:rsidRDefault="00000000" w:rsidRPr="00000000" w14:paraId="00000041">
      <w:pPr>
        <w:pStyle w:val="Heading2"/>
        <w:rPr/>
      </w:pPr>
      <w:r w:rsidDel="00000000" w:rsidR="00000000" w:rsidRPr="00000000">
        <w:rPr>
          <w:rtl w:val="0"/>
        </w:rPr>
        <w:t xml:space="preserve">3.1. Los derechos de la infancia en el entorno digital</w:t>
      </w:r>
    </w:p>
    <w:p w:rsidR="00000000" w:rsidDel="00000000" w:rsidP="00000000" w:rsidRDefault="00000000" w:rsidRPr="00000000" w14:paraId="00000042">
      <w:pPr>
        <w:spacing w:after="160" w:before="80" w:lineRule="auto"/>
        <w:jc w:val="both"/>
        <w:rPr/>
      </w:pPr>
      <w:r w:rsidDel="00000000" w:rsidR="00000000" w:rsidRPr="00000000">
        <w:rPr>
          <w:sz w:val="24"/>
          <w:szCs w:val="24"/>
          <w:rtl w:val="0"/>
        </w:rPr>
        <w:t xml:space="preserve">El Comité de los Derechos del Niño de Naciones Unidas abordó explícitamente esta cuestión en su Observación General N.º 25 (2021) sobre los derechos de la infancia en relación con el entorno digital. Este documento establece que los Estados deben garantizar que todos los niños tengan acceso adecuado y asequible a internet, especialmente para la educación, y que deben tomar medidas para garantizar que los niños de entornos desfavorecidos no queden excluidos del entorno digital.</w:t>
      </w:r>
      <w:r w:rsidDel="00000000" w:rsidR="00000000" w:rsidRPr="00000000">
        <w:rPr>
          <w:rtl w:val="0"/>
        </w:rPr>
      </w:r>
    </w:p>
    <w:p w:rsidR="00000000" w:rsidDel="00000000" w:rsidP="00000000" w:rsidRDefault="00000000" w:rsidRPr="00000000" w14:paraId="00000043">
      <w:pPr>
        <w:spacing w:after="160" w:before="80" w:lineRule="auto"/>
        <w:jc w:val="both"/>
        <w:rPr/>
      </w:pPr>
      <w:r w:rsidDel="00000000" w:rsidR="00000000" w:rsidRPr="00000000">
        <w:rPr>
          <w:sz w:val="24"/>
          <w:szCs w:val="24"/>
          <w:rtl w:val="0"/>
        </w:rPr>
        <w:t xml:space="preserve">La Observación General N.º 25 no habla de niños en situación de vulnerabilidad acreditada. Habla de todos los niños. No es un mandato de focalización; es un mandato de universalidad. El derecho a la conectividad para la educación no es un derecho que los menores tengan que ganarse demostrando que son suficientemente pobres. Es un derecho que tienen por el mero hecho de ser niños en edad escolar en una sociedad que ha digitalizado su sistema educativo.</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3.2. [NUEVO] Género y socialización digital en la infancia y adolescencia</w:t>
      </w:r>
    </w:p>
    <w:p w:rsidR="00000000" w:rsidDel="00000000" w:rsidP="00000000" w:rsidRDefault="00000000" w:rsidRPr="00000000" w14:paraId="00000045">
      <w:pPr>
        <w:spacing w:after="160" w:before="80" w:lineRule="auto"/>
        <w:jc w:val="both"/>
        <w:rPr/>
      </w:pPr>
      <w:r w:rsidDel="00000000" w:rsidR="00000000" w:rsidRPr="00000000">
        <w:rPr>
          <w:sz w:val="24"/>
          <w:szCs w:val="24"/>
          <w:rtl w:val="0"/>
        </w:rPr>
        <w:t xml:space="preserve">Desde edades muy tempranas, las diferencias de género en la relación con la tecnología no son naturales: son construidas. Los patrones de juego —juguetes «de niñas» sin componentes tecnológicos frente a juguetes «de niños» con robótica y programación—, los estereotipos transmitidos por el entorno familiar y escolar, y la escasa presencia de referentes femeninos en los campos STEM contribuyen a que las niñas desarrollen desde la infancia una menor autoconfianza digital y una menor identificación con las profesiones tecnológicas.</w:t>
      </w:r>
      <w:r w:rsidDel="00000000" w:rsidR="00000000" w:rsidRPr="00000000">
        <w:rPr>
          <w:rtl w:val="0"/>
        </w:rPr>
      </w:r>
    </w:p>
    <w:p w:rsidR="00000000" w:rsidDel="00000000" w:rsidP="00000000" w:rsidRDefault="00000000" w:rsidRPr="00000000" w14:paraId="00000046">
      <w:pPr>
        <w:spacing w:after="160" w:before="80" w:lineRule="auto"/>
        <w:jc w:val="both"/>
        <w:rPr/>
      </w:pPr>
      <w:r w:rsidDel="00000000" w:rsidR="00000000" w:rsidRPr="00000000">
        <w:rPr>
          <w:sz w:val="24"/>
          <w:szCs w:val="24"/>
          <w:rtl w:val="0"/>
        </w:rPr>
        <w:t xml:space="preserve">La UNESCO (2023), en su Global Education Monitoring Report sobre tecnología educativa, documentó que en los países de renta media y alta —incluyendo España— las diferencias de género en competencias digitales básicas son aún pequeñas entre los 10 y los 12 años, pero se amplían significativamente entre los 13 y los 16 años, coincidiendo con la adolescencia y la intensificación de los roles de género sociales. Este resultado sugiere que la intervención debe anticiparse: los programas de promoción de las STEM para niñas deben comenzar en primaria, no en la ESO.</w:t>
      </w:r>
      <w:r w:rsidDel="00000000" w:rsidR="00000000" w:rsidRPr="00000000">
        <w:rPr>
          <w:rtl w:val="0"/>
        </w:rPr>
      </w:r>
    </w:p>
    <w:p w:rsidR="00000000" w:rsidDel="00000000" w:rsidP="00000000" w:rsidRDefault="00000000" w:rsidRPr="00000000" w14:paraId="00000047">
      <w:pPr>
        <w:spacing w:after="160" w:before="80" w:lineRule="auto"/>
        <w:jc w:val="both"/>
        <w:rPr/>
      </w:pPr>
      <w:r w:rsidDel="00000000" w:rsidR="00000000" w:rsidRPr="00000000">
        <w:rPr>
          <w:sz w:val="24"/>
          <w:szCs w:val="24"/>
          <w:rtl w:val="0"/>
        </w:rPr>
        <w:t xml:space="preserve">El DiSTO Project (De Marco &amp; Sorando, 2025) documentó en sus estudios cualitativos que los adolescentes de entornos desfavorecidos muestran patrones de uso digital diferenciados por género: los chicos tienden a usar el smartphone más para videojuegos y producción de contenido; las chicas, para comunicación y consumo. Ninguno de los dos patrones genera, por sí solo, las competencias digitales que el mercado de trabajo demandará en los próximos años. Pero el patrón de los chicos es más compatible con el aprendizaje informal de habilidades técnicas.</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3.3. La vulnerabilidad específica de la infancia en hogares sin conectividad</w:t>
      </w:r>
    </w:p>
    <w:p w:rsidR="00000000" w:rsidDel="00000000" w:rsidP="00000000" w:rsidRDefault="00000000" w:rsidRPr="00000000" w14:paraId="00000049">
      <w:pPr>
        <w:spacing w:after="160" w:before="80" w:lineRule="auto"/>
        <w:jc w:val="both"/>
        <w:rPr/>
      </w:pPr>
      <w:r w:rsidDel="00000000" w:rsidR="00000000" w:rsidRPr="00000000">
        <w:rPr>
          <w:sz w:val="24"/>
          <w:szCs w:val="24"/>
          <w:rtl w:val="0"/>
        </w:rPr>
        <w:t xml:space="preserve">Los testimonios recogidos en el proyecto DiSTO Spain (2024-2025) son ilustrativos de cómo la exclusión digital se vive en los hogares más vulnerables. Una madre de tres hijos en un municipio rural de Extremadura describía cómo sus hijos tenían que hacer los deberes en la biblioteca municipal, que cerraba a las ocho de la tarde. Un padre de dos adolescentes en un barrio de renta baja de una ciudad española describía cómo había tenido que elegir entre pagar la conexión a internet o la factura de la electricidad.</w:t>
      </w:r>
      <w:r w:rsidDel="00000000" w:rsidR="00000000" w:rsidRPr="00000000">
        <w:rPr>
          <w:rtl w:val="0"/>
        </w:rPr>
      </w:r>
    </w:p>
    <w:p w:rsidR="00000000" w:rsidDel="00000000" w:rsidP="00000000" w:rsidRDefault="00000000" w:rsidRPr="00000000" w14:paraId="0000004A">
      <w:pPr>
        <w:spacing w:after="160" w:before="80" w:lineRule="auto"/>
        <w:jc w:val="both"/>
        <w:rPr/>
      </w:pPr>
      <w:r w:rsidDel="00000000" w:rsidR="00000000" w:rsidRPr="00000000">
        <w:rPr>
          <w:sz w:val="24"/>
          <w:szCs w:val="24"/>
          <w:rtl w:val="0"/>
        </w:rPr>
        <w:t xml:space="preserve">Un elemento que las políticas actuales tienden a ignorar: la universalidad de las medidas reduce el estigma. Un niño que recibe un bono de conectividad porque «es pobre» experimenta una forma de etiquetado que puede tener efectos negativos sobre su autoestima y su sentido de pertenencia. Un niño que recibe el bono porque «todos los niños en edad escolar tienen derecho a estar conectados» no experimenta ese estigma. La universalidad no es solo más eficiente; es también más digna.</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3.4. Políticas autonómicas existentes: evaluación crítica</w:t>
      </w:r>
    </w:p>
    <w:p w:rsidR="00000000" w:rsidDel="00000000" w:rsidP="00000000" w:rsidRDefault="00000000" w:rsidRPr="00000000" w14:paraId="0000004C">
      <w:pPr>
        <w:spacing w:after="160" w:before="80" w:lineRule="auto"/>
        <w:jc w:val="both"/>
        <w:rPr/>
      </w:pPr>
      <w:r w:rsidDel="00000000" w:rsidR="00000000" w:rsidRPr="00000000">
        <w:rPr>
          <w:sz w:val="24"/>
          <w:szCs w:val="24"/>
          <w:rtl w:val="0"/>
        </w:rPr>
        <w:t xml:space="preserve">Varias comunidades autónomas han puesto en marcha programas de apoyo a la inclusión digital de menores en situación de vulnerabilidad. Cataluña, la Comunitat Valenciana y Galicia han sido pioneras en modelos de dotación de dispositivos y, en menor medida, de conectividad. Estos programas tienen en común tres limitaciones: son fragmentarios, son discontinuos y son insuficientes en escala.</w:t>
      </w:r>
      <w:r w:rsidDel="00000000" w:rsidR="00000000" w:rsidRPr="00000000">
        <w:rPr>
          <w:rtl w:val="0"/>
        </w:rPr>
      </w:r>
    </w:p>
    <w:p w:rsidR="00000000" w:rsidDel="00000000" w:rsidP="00000000" w:rsidRDefault="00000000" w:rsidRPr="00000000" w14:paraId="0000004D">
      <w:pPr>
        <w:spacing w:after="160" w:before="80" w:lineRule="auto"/>
        <w:jc w:val="both"/>
        <w:rPr/>
      </w:pPr>
      <w:r w:rsidDel="00000000" w:rsidR="00000000" w:rsidRPr="00000000">
        <w:rPr>
          <w:sz w:val="24"/>
          <w:szCs w:val="24"/>
          <w:rtl w:val="0"/>
        </w:rPr>
        <w:t xml:space="preserve">A estas tres limitaciones debe añadirse una cuarta, que esta edición incorpora: son ciegos al género. Ninguno de los programas autonómicos analizados incluye un análisis desagregado por género de los beneficiarios, ni medidas específicas para garantizar que las niñas de entornos desfavorecidos acceden a la formación en programación, robótica o STEM con la misma frecuencia que los niños. La dotación de dispositivos sin perspectiva de género reproduce en el hogar los sesgos que ya existen en el aula.</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CAPÍTULO 4. EL PAPEL DE LAS AYUDAS ESTATALES Y AUTONÓMICAS</w:t>
      </w:r>
    </w:p>
    <w:p w:rsidR="00000000" w:rsidDel="00000000" w:rsidP="00000000" w:rsidRDefault="00000000" w:rsidRPr="00000000" w14:paraId="00000050">
      <w:pPr>
        <w:pStyle w:val="Heading2"/>
        <w:rPr/>
      </w:pPr>
      <w:r w:rsidDel="00000000" w:rsidR="00000000" w:rsidRPr="00000000">
        <w:rPr>
          <w:rtl w:val="0"/>
        </w:rPr>
        <w:t xml:space="preserve">4.1. El Ingreso Mínimo Vital como posible vehículo</w:t>
      </w:r>
    </w:p>
    <w:p w:rsidR="00000000" w:rsidDel="00000000" w:rsidP="00000000" w:rsidRDefault="00000000" w:rsidRPr="00000000" w14:paraId="00000051">
      <w:pPr>
        <w:spacing w:after="160" w:before="80" w:lineRule="auto"/>
        <w:jc w:val="both"/>
        <w:rPr/>
      </w:pPr>
      <w:r w:rsidDel="00000000" w:rsidR="00000000" w:rsidRPr="00000000">
        <w:rPr>
          <w:sz w:val="24"/>
          <w:szCs w:val="24"/>
          <w:rtl w:val="0"/>
        </w:rPr>
        <w:t xml:space="preserve">El Ingreso Mínimo Vital (IMV), creado por el Real Decreto-ley 20/2020, es el mecanismo más potente de garantía de renta disponible en el sistema de protección social español para los hogares en situación de vulnerabilidad económica. A finales de 2024, el IMV beneficiaba a aproximadamente 630.000 hogares, con una cobertura estimada que alcanzaba entre el 35% y el 45% de los hogares potencialmente elegibles.</w:t>
      </w:r>
      <w:r w:rsidDel="00000000" w:rsidR="00000000" w:rsidRPr="00000000">
        <w:rPr>
          <w:rtl w:val="0"/>
        </w:rPr>
      </w:r>
    </w:p>
    <w:p w:rsidR="00000000" w:rsidDel="00000000" w:rsidP="00000000" w:rsidRDefault="00000000" w:rsidRPr="00000000" w14:paraId="00000052">
      <w:pPr>
        <w:spacing w:after="160" w:before="80" w:lineRule="auto"/>
        <w:jc w:val="both"/>
        <w:rPr/>
      </w:pPr>
      <w:r w:rsidDel="00000000" w:rsidR="00000000" w:rsidRPr="00000000">
        <w:rPr>
          <w:sz w:val="24"/>
          <w:szCs w:val="24"/>
          <w:rtl w:val="0"/>
        </w:rPr>
        <w:t xml:space="preserve">La propuesta que este paper defiende es la de incorporar un complemento de conectividad dentro de la estructura del IMV. Un elemento que debe añadirse al diseño es la perspectiva de género: los datos del IMV muestran que las familias monoparentales encabezadas por mujeres —que representan el 82% de los hogares monoparentales con menores en España— están sistemáticamente subrepresentadas entre los beneficiarios. Las barreras burocráticas del IMV afectan de forma especialmente intensa a las mujeres en situaciones de vulnerabilidad múltiple: las que tienen menores a su cargo, las que no dominan el español, las que viven en zonas rurales sin acceso a servicios sociales de proximidad.</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4.2. Programas de formación en competencias digitales</w:t>
      </w:r>
    </w:p>
    <w:p w:rsidR="00000000" w:rsidDel="00000000" w:rsidP="00000000" w:rsidRDefault="00000000" w:rsidRPr="00000000" w14:paraId="00000054">
      <w:pPr>
        <w:spacing w:after="160" w:before="80" w:lineRule="auto"/>
        <w:jc w:val="both"/>
        <w:rPr/>
      </w:pPr>
      <w:r w:rsidDel="00000000" w:rsidR="00000000" w:rsidRPr="00000000">
        <w:rPr>
          <w:sz w:val="24"/>
          <w:szCs w:val="24"/>
          <w:rtl w:val="0"/>
        </w:rPr>
        <w:t xml:space="preserve">Los programas de formación en competencias digitales financiados con fondos europeos han tenido una escala creciente. Sin embargo, la paradoja fundamental persiste: la formación sin acceso es ineficaz. Un programa de formación digital que se imparte en un aula equipada pero cuyos participantes no tienen internet en casa produce un aprendizaje que se evaporará en pocas semanas por falta de práctica.</w:t>
      </w:r>
      <w:r w:rsidDel="00000000" w:rsidR="00000000" w:rsidRPr="00000000">
        <w:rPr>
          <w:rtl w:val="0"/>
        </w:rPr>
      </w:r>
    </w:p>
    <w:p w:rsidR="00000000" w:rsidDel="00000000" w:rsidP="00000000" w:rsidRDefault="00000000" w:rsidRPr="00000000" w14:paraId="00000055">
      <w:pPr>
        <w:spacing w:after="160" w:before="80" w:lineRule="auto"/>
        <w:jc w:val="both"/>
        <w:rPr/>
      </w:pPr>
      <w:r w:rsidDel="00000000" w:rsidR="00000000" w:rsidRPr="00000000">
        <w:rPr>
          <w:sz w:val="24"/>
          <w:szCs w:val="24"/>
          <w:rtl w:val="0"/>
        </w:rPr>
        <w:t xml:space="preserve">A esta paradoja debe añadirse una ceguera de género: los programas de formación digital existentes no están diseñados con perspectiva de género. Los horarios —habitualmente diurnos o de tarde— no tienen en cuenta las responsabilidades de cuidado que recaen desproporcionadamente sobre las mujeres. Los contenidos no están adaptados a las necesidades específicas de las mujeres mayores o de las mujeres migrantes. Y los lugares de impartición no siempre son accesibles para mujeres con movilidad limitada o con hijos pequeños. La Fundación Telefónica (2025) estima que, en los programas de formación digital para adultos en España, las mujeres representan el 58% de las matriculaciones pero solo el 39% de las que completan el programa, lo que sugiere que las barreras de abandono tienen un perfil de género muy marcado.</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4.3. Ayudas específicas para familias con hijos en edad escolar</w:t>
      </w:r>
    </w:p>
    <w:p w:rsidR="00000000" w:rsidDel="00000000" w:rsidP="00000000" w:rsidRDefault="00000000" w:rsidRPr="00000000" w14:paraId="00000057">
      <w:pPr>
        <w:spacing w:after="160" w:before="80" w:lineRule="auto"/>
        <w:jc w:val="both"/>
        <w:rPr/>
      </w:pPr>
      <w:r w:rsidDel="00000000" w:rsidR="00000000" w:rsidRPr="00000000">
        <w:rPr>
          <w:sz w:val="24"/>
          <w:szCs w:val="24"/>
          <w:rtl w:val="0"/>
        </w:rPr>
        <w:t xml:space="preserve">La propuesta más urgente es la de un bono de conectividad universal para todos los niños y niñas en situación de vulnerabilidad económica. No un programa piloto. No una subvención discrecional. Un derecho exigible, vinculado a la condición de menor en un hogar bajo el umbral de la pobreza. El diseño del bono propuesto se articula en torno a tres principios: universalidad dentro del grupo objetivo, suficiencia del importe (30-40 euros mensuales), y automaticidad en el reconocimiento, sin necesidad de solicitud activa.</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4.4. El papel de los gobiernos locales</w:t>
      </w:r>
    </w:p>
    <w:p w:rsidR="00000000" w:rsidDel="00000000" w:rsidP="00000000" w:rsidRDefault="00000000" w:rsidRPr="00000000" w14:paraId="00000059">
      <w:pPr>
        <w:spacing w:after="160" w:before="80" w:lineRule="auto"/>
        <w:jc w:val="both"/>
        <w:rPr/>
      </w:pPr>
      <w:r w:rsidDel="00000000" w:rsidR="00000000" w:rsidRPr="00000000">
        <w:rPr>
          <w:sz w:val="24"/>
          <w:szCs w:val="24"/>
          <w:rtl w:val="0"/>
        </w:rPr>
        <w:t xml:space="preserve">Los ayuntamientos han sido los actores más innovadores en materia de inclusión digital: bibliotecas, telecentros, wifi municipal, programas de préstamo de dispositivos. Pero el acceso público tiene limitaciones estructurales evidentes. Un niño que debe hacer sus deberes en una biblioteca municipal con horario limitado no tiene las mismas condiciones de estudio que uno que trabaja desde su habitación con su propia conexión. Hay además una cuestión de dignidad: la ciudadanía de primera clase tiene internet en casa; la de segunda clase, en la biblioteca.</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4.5. [NUEVO] Crítica de la focalización: las ayudas discrecionales y sus límites</w:t>
      </w:r>
    </w:p>
    <w:p w:rsidR="00000000" w:rsidDel="00000000" w:rsidP="00000000" w:rsidRDefault="00000000" w:rsidRPr="00000000" w14:paraId="0000005B">
      <w:pPr>
        <w:spacing w:after="160" w:before="80" w:lineRule="auto"/>
        <w:jc w:val="both"/>
        <w:rPr/>
      </w:pPr>
      <w:r w:rsidDel="00000000" w:rsidR="00000000" w:rsidRPr="00000000">
        <w:rPr>
          <w:sz w:val="24"/>
          <w:szCs w:val="24"/>
          <w:rtl w:val="0"/>
        </w:rPr>
        <w:t xml:space="preserve">Los modelos de ayuda basados en la acreditación de vulnerabilidad individual tienen un atractivo intuitivo desde la perspectiva de la eficiencia: si los recursos son limitados, tiene sentido concentrarlos en quienes más los necesitan. Pietro (2021) identifica cuatro tipos de costes de la focalización que se ignoran habitualmente en los análisis de eficiencia: costes administrativos directos, costes de no-cobertura, el efecto precipicio y los costes de estigmatización.</w:t>
      </w:r>
      <w:r w:rsidDel="00000000" w:rsidR="00000000" w:rsidRPr="00000000">
        <w:rPr>
          <w:rtl w:val="0"/>
        </w:rPr>
      </w:r>
    </w:p>
    <w:p w:rsidR="00000000" w:rsidDel="00000000" w:rsidP="00000000" w:rsidRDefault="00000000" w:rsidRPr="00000000" w14:paraId="0000005C">
      <w:pPr>
        <w:spacing w:after="160" w:before="80" w:lineRule="auto"/>
        <w:jc w:val="both"/>
        <w:rPr/>
      </w:pPr>
      <w:r w:rsidDel="00000000" w:rsidR="00000000" w:rsidRPr="00000000">
        <w:rPr>
          <w:sz w:val="24"/>
          <w:szCs w:val="24"/>
          <w:rtl w:val="0"/>
        </w:rPr>
        <w:t xml:space="preserve">A estos cuatro costes debe añadirse un quinto, específico de género: la focalización tiene un sesgo de género sistemático. Las mujeres en situación de vulnerabilidad múltiple son las que con más frecuencia no llegan a los sistemas focalizados, precisamente porque su situación de vulnerabilidad les dificulta gestionar los procesos burocráticos necesarios para acceder a ellos. Robinson et al. (2020) documentaron que las mujeres migrantes de baja renta son el grupo con mayor brecha entre elegibilidad y cobertura efectiva en los programas de inclusión digital de los países europeos analizados.</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CAPÍTULO 5. INTERNET COMO INFRAESTRUCTURA CRÍTICA Y DERECHO SOCIAL</w:t>
      </w:r>
    </w:p>
    <w:p w:rsidR="00000000" w:rsidDel="00000000" w:rsidP="00000000" w:rsidRDefault="00000000" w:rsidRPr="00000000" w14:paraId="0000005F">
      <w:pPr>
        <w:pStyle w:val="Heading2"/>
        <w:rPr/>
      </w:pPr>
      <w:r w:rsidDel="00000000" w:rsidR="00000000" w:rsidRPr="00000000">
        <w:rPr>
          <w:rtl w:val="0"/>
        </w:rPr>
        <w:t xml:space="preserve">5.1. Marco teórico: los bienes comunes digitales</w:t>
      </w:r>
    </w:p>
    <w:p w:rsidR="00000000" w:rsidDel="00000000" w:rsidP="00000000" w:rsidRDefault="00000000" w:rsidRPr="00000000" w14:paraId="00000060">
      <w:pPr>
        <w:spacing w:after="160" w:before="80" w:lineRule="auto"/>
        <w:jc w:val="both"/>
        <w:rPr/>
      </w:pPr>
      <w:r w:rsidDel="00000000" w:rsidR="00000000" w:rsidRPr="00000000">
        <w:rPr>
          <w:sz w:val="24"/>
          <w:szCs w:val="24"/>
          <w:rtl w:val="0"/>
        </w:rPr>
        <w:t xml:space="preserve">La teoría de los bienes comunes elaborada por Elinor Ostrom en Governing the Commons (1990) proporciona un marco teórico potente para pensar internet como un recurso colectivo que requiere formas de gobernanza distintas a las del mercado puro o la gestión estatal centralizada. Yochai Benkler, en La riqueza de las redes (2006), argumentó que internet, en su diseño técnico original, fue concebido como un bien común. La tensión que describe Benkler es la misma que observamos en el análisis de la brecha digital: el diseño originalmente abierto de internet ha sido progresivamente capturado por actores privados que extraen valor de la red mientras externalizan sobre el sector público los costes de inclusión de los usuarios menos rentables.</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5.2. Economía política de la conectividad</w:t>
      </w:r>
    </w:p>
    <w:p w:rsidR="00000000" w:rsidDel="00000000" w:rsidP="00000000" w:rsidRDefault="00000000" w:rsidRPr="00000000" w14:paraId="00000062">
      <w:pPr>
        <w:spacing w:after="160" w:before="80" w:lineRule="auto"/>
        <w:jc w:val="both"/>
        <w:rPr/>
      </w:pPr>
      <w:r w:rsidDel="00000000" w:rsidR="00000000" w:rsidRPr="00000000">
        <w:rPr>
          <w:sz w:val="24"/>
          <w:szCs w:val="24"/>
          <w:rtl w:val="0"/>
        </w:rPr>
        <w:t xml:space="preserve">El mercado de telecomunicaciones en España presenta una estructura oligopólica consolidada. Tres grandes operadores controlan aproximadamente el 75% del mercado de banda ancha fija. La rentabilidad de las redes tiene una geografía muy clara: alta en zonas urbanas densas, virtualmente nula en municipios rurales de baja densidad.</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5.3. [NUEVO] División sexual del trabajo en las infraestructuras digitales</w:t>
      </w:r>
    </w:p>
    <w:p w:rsidR="00000000" w:rsidDel="00000000" w:rsidP="00000000" w:rsidRDefault="00000000" w:rsidRPr="00000000" w14:paraId="00000064">
      <w:pPr>
        <w:spacing w:after="160" w:before="80" w:lineRule="auto"/>
        <w:jc w:val="both"/>
        <w:rPr/>
      </w:pPr>
      <w:r w:rsidDel="00000000" w:rsidR="00000000" w:rsidRPr="00000000">
        <w:rPr>
          <w:sz w:val="24"/>
          <w:szCs w:val="24"/>
          <w:rtl w:val="0"/>
        </w:rPr>
        <w:t xml:space="preserve">La brecha de género en el espacio digital no se limita al acceso y al uso: penetra también en la producción de las infraestructuras que soportan ese espacio. Las mujeres representan apenas el 17% de las personas empleadas en el sector de telecomunicaciones en España, y su presencia se concentra en roles administrativos y de atención al cliente, no en los roles técnicos de diseño, mantenimiento e ingeniería de redes (Martínez-Cantos &amp; Castaño, 2017).</w:t>
      </w:r>
      <w:r w:rsidDel="00000000" w:rsidR="00000000" w:rsidRPr="00000000">
        <w:rPr>
          <w:rtl w:val="0"/>
        </w:rPr>
      </w:r>
    </w:p>
    <w:p w:rsidR="00000000" w:rsidDel="00000000" w:rsidP="00000000" w:rsidRDefault="00000000" w:rsidRPr="00000000" w14:paraId="00000065">
      <w:pPr>
        <w:spacing w:after="160" w:before="80" w:lineRule="auto"/>
        <w:jc w:val="both"/>
        <w:rPr/>
      </w:pPr>
      <w:r w:rsidDel="00000000" w:rsidR="00000000" w:rsidRPr="00000000">
        <w:rPr>
          <w:sz w:val="24"/>
          <w:szCs w:val="24"/>
          <w:rtl w:val="0"/>
        </w:rPr>
        <w:t xml:space="preserve">Esta subrepresentación no es irrelevante para el diseño de las políticas de inclusión digital. Las infraestructuras y los servicios digitales son diseñados, en su mayoría, por equipos masculinos, con las consecuencias que Wajcman (2004) documentó sobre la masculinización del diseño tecnológico: interfaces que reproducen asunciones culturales de género, servicios que priorizan los usos masculinos, algoritmos que amplifican sesgos existentes. La inclusión de más mujeres en los roles técnicos de telecomunicaciones no es solo una cuestión de equidad laboral; es una condición para que la infraestructura digital sea verdaderamente universal.</w:t>
      </w:r>
      <w:r w:rsidDel="00000000" w:rsidR="00000000" w:rsidRPr="00000000">
        <w:rPr>
          <w:rtl w:val="0"/>
        </w:rPr>
      </w:r>
    </w:p>
    <w:p w:rsidR="00000000" w:rsidDel="00000000" w:rsidP="00000000" w:rsidRDefault="00000000" w:rsidRPr="00000000" w14:paraId="00000066">
      <w:pPr>
        <w:spacing w:after="160" w:before="80" w:lineRule="auto"/>
        <w:jc w:val="both"/>
        <w:rPr/>
      </w:pPr>
      <w:r w:rsidDel="00000000" w:rsidR="00000000" w:rsidRPr="00000000">
        <w:rPr>
          <w:sz w:val="24"/>
          <w:szCs w:val="24"/>
          <w:rtl w:val="0"/>
        </w:rPr>
        <w:t xml:space="preserve">El EIGE (2024) señala que España ha avanzado poco en la reducción de la brecha de género en las profesiones TIC en la última década: el porcentaje de mujeres en estas profesiones aumentó solo del 15,3% en 2014 al 17,1% en 2024. A este ritmo, la paridad tardaría más de 80 años en alcanzarse. Las políticas de conectividad universal necesitan también políticas de transformación de los sectores que producen esa conectividad.</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5.4. El derecho a la conectividad como derecho fundamental</w:t>
      </w:r>
    </w:p>
    <w:p w:rsidR="00000000" w:rsidDel="00000000" w:rsidP="00000000" w:rsidRDefault="00000000" w:rsidRPr="00000000" w14:paraId="00000068">
      <w:pPr>
        <w:spacing w:after="160" w:before="80" w:lineRule="auto"/>
        <w:jc w:val="both"/>
        <w:rPr/>
      </w:pPr>
      <w:r w:rsidDel="00000000" w:rsidR="00000000" w:rsidRPr="00000000">
        <w:rPr>
          <w:sz w:val="24"/>
          <w:szCs w:val="24"/>
          <w:rtl w:val="0"/>
        </w:rPr>
        <w:t xml:space="preserve">Más de 40 países han reconocido constitucionalmente o legalmente el acceso a internet como derecho fundamental. España no está entre ellos. La LGT de 2022 da pasos importantes pero insuficientes. La propuesta de este paper —que el acceso a internet de banda ancha sea reconocido explícitamente como derecho básico universal en el ordenamiento constitucional español— no es una excentricidad: es la conclusión lógica de un proceso de reconocimiento que ya está en marcha y que la perspectiva de género hace aún más urgente.</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CAPÍTULO 6. PROPUESTAS: HACIA UN MODELO DE AYUDAS ESTRUCTURALES</w:t>
      </w:r>
    </w:p>
    <w:p w:rsidR="00000000" w:rsidDel="00000000" w:rsidP="00000000" w:rsidRDefault="00000000" w:rsidRPr="00000000" w14:paraId="0000006B">
      <w:pPr>
        <w:pStyle w:val="Heading2"/>
        <w:rPr/>
      </w:pPr>
      <w:r w:rsidDel="00000000" w:rsidR="00000000" w:rsidRPr="00000000">
        <w:rPr>
          <w:rtl w:val="0"/>
        </w:rPr>
        <w:t xml:space="preserve">6.1. Propuesta 1: Complemento de conectividad en el IMV</w:t>
      </w:r>
    </w:p>
    <w:p w:rsidR="00000000" w:rsidDel="00000000" w:rsidP="00000000" w:rsidRDefault="00000000" w:rsidRPr="00000000" w14:paraId="0000006C">
      <w:pPr>
        <w:spacing w:after="160" w:before="80" w:lineRule="auto"/>
        <w:jc w:val="both"/>
        <w:rPr/>
      </w:pPr>
      <w:r w:rsidDel="00000000" w:rsidR="00000000" w:rsidRPr="00000000">
        <w:rPr>
          <w:sz w:val="24"/>
          <w:szCs w:val="24"/>
          <w:rtl w:val="0"/>
        </w:rPr>
        <w:t xml:space="preserve">Incorporar un complemento de conectividad dentro de la estructura del IMV, cubriendo el coste de una conexión de banda ancha de calidad suficiente para los hogares beneficiarios del IMV con hijos en edad escolar. Este complemento se abonará directamente al operador de telecomunicaciones designado por el beneficiario mediante un sistema de descuento en factura.</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6.2. Propuesta 2: Bono de conectividad escolar</w:t>
      </w:r>
    </w:p>
    <w:p w:rsidR="00000000" w:rsidDel="00000000" w:rsidP="00000000" w:rsidRDefault="00000000" w:rsidRPr="00000000" w14:paraId="0000006E">
      <w:pPr>
        <w:spacing w:after="160" w:before="80" w:lineRule="auto"/>
        <w:jc w:val="both"/>
        <w:rPr/>
      </w:pPr>
      <w:r w:rsidDel="00000000" w:rsidR="00000000" w:rsidRPr="00000000">
        <w:rPr>
          <w:sz w:val="24"/>
          <w:szCs w:val="24"/>
          <w:rtl w:val="0"/>
        </w:rPr>
        <w:t xml:space="preserve">Un bono de conectividad universal para todos los alumnos matriculados en centros públicos y concertados que no dispongan de conectividad adecuada en el hogar, identificados mediante declaración responsable sin exigencia de acreditación de vulnerabilidad.</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6.3. Propuesta 3: Programa de dispositivos y formación</w:t>
      </w:r>
    </w:p>
    <w:p w:rsidR="00000000" w:rsidDel="00000000" w:rsidP="00000000" w:rsidRDefault="00000000" w:rsidRPr="00000000" w14:paraId="00000070">
      <w:pPr>
        <w:spacing w:after="160" w:before="80" w:lineRule="auto"/>
        <w:jc w:val="both"/>
        <w:rPr/>
      </w:pPr>
      <w:r w:rsidDel="00000000" w:rsidR="00000000" w:rsidRPr="00000000">
        <w:rPr>
          <w:sz w:val="24"/>
          <w:szCs w:val="24"/>
          <w:rtl w:val="0"/>
        </w:rPr>
        <w:t xml:space="preserve">Un programa nacional de dotación de dispositivos y formación digital para hogares sin equipamiento, con especial atención a las zonas rurales y a los hogares monoparentales.</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6.4. Propuesta 4: Fondo Estatal para la Inclusión Digital</w:t>
      </w:r>
    </w:p>
    <w:p w:rsidR="00000000" w:rsidDel="00000000" w:rsidP="00000000" w:rsidRDefault="00000000" w:rsidRPr="00000000" w14:paraId="00000072">
      <w:pPr>
        <w:spacing w:after="160" w:before="80" w:lineRule="auto"/>
        <w:jc w:val="both"/>
        <w:rPr/>
      </w:pPr>
      <w:r w:rsidDel="00000000" w:rsidR="00000000" w:rsidRPr="00000000">
        <w:rPr>
          <w:sz w:val="24"/>
          <w:szCs w:val="24"/>
          <w:rtl w:val="0"/>
        </w:rPr>
        <w:t xml:space="preserve">Un Fondo Estatal para la Inclusión Digital, financiado parcialmente mediante una tasa sobre los ingresos de las grandes plataformas digitales en España, con dotación mínima de 2.500 millones de euros anuales para el período 2027-2032.</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6.5. Propuesta 5: Marco regulatorio y acceso abierto</w:t>
      </w:r>
    </w:p>
    <w:p w:rsidR="00000000" w:rsidDel="00000000" w:rsidP="00000000" w:rsidRDefault="00000000" w:rsidRPr="00000000" w14:paraId="00000074">
      <w:pPr>
        <w:spacing w:after="160" w:before="80" w:lineRule="auto"/>
        <w:jc w:val="both"/>
        <w:rPr/>
      </w:pPr>
      <w:r w:rsidDel="00000000" w:rsidR="00000000" w:rsidRPr="00000000">
        <w:rPr>
          <w:sz w:val="24"/>
          <w:szCs w:val="24"/>
          <w:rtl w:val="0"/>
        </w:rPr>
        <w:t xml:space="preserve">Un marco regulatorio que garantice el acceso abierto a la literatura científica financiada con fondos públicos, y licencias colectivas para herramientas de formación digital e IA educativa para todos los alumnos de centros públicos.</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6.6. [NUEVO] Universalidad de las medidas</w:t>
      </w:r>
    </w:p>
    <w:p w:rsidR="00000000" w:rsidDel="00000000" w:rsidP="00000000" w:rsidRDefault="00000000" w:rsidRPr="00000000" w14:paraId="00000076">
      <w:pPr>
        <w:spacing w:after="160" w:before="80" w:lineRule="auto"/>
        <w:jc w:val="both"/>
        <w:rPr/>
      </w:pPr>
      <w:r w:rsidDel="00000000" w:rsidR="00000000" w:rsidRPr="00000000">
        <w:rPr>
          <w:sz w:val="24"/>
          <w:szCs w:val="24"/>
          <w:rtl w:val="0"/>
        </w:rPr>
        <w:t xml:space="preserve">Las cinco propuestas previas están diseñadas con criterios de focalización: llegan a quienes están por debajo de un umbral de renta o a quienes pertenecen a una categoría vulnerable específica. Esta sección defiende el principio de que determinadas medidas de garantía de conectividad deben ser universales, no focalizadas.</w:t>
      </w:r>
      <w:r w:rsidDel="00000000" w:rsidR="00000000" w:rsidRPr="00000000">
        <w:rPr>
          <w:rtl w:val="0"/>
        </w:rPr>
      </w:r>
    </w:p>
    <w:p w:rsidR="00000000" w:rsidDel="00000000" w:rsidP="00000000" w:rsidRDefault="00000000" w:rsidRPr="00000000" w14:paraId="00000077">
      <w:pPr>
        <w:spacing w:after="160" w:before="80" w:lineRule="auto"/>
        <w:jc w:val="both"/>
        <w:rPr/>
      </w:pPr>
      <w:r w:rsidDel="00000000" w:rsidR="00000000" w:rsidRPr="00000000">
        <w:rPr>
          <w:sz w:val="24"/>
          <w:szCs w:val="24"/>
          <w:rtl w:val="0"/>
        </w:rPr>
        <w:t xml:space="preserve">Primera propuesta universal: conectividad garantizada para todos los estudiantes matriculados en el sistema público. Segunda propuesta universal: acceso a datos móviles para todos los mayores de 65 años. Tercera propuesta universal: acceso abierto a los repositorios de literatura científica para todos los ciudadanos españoles. Cuarta propuesta universal: acceso gratuito a plataformas básicas de formación digital. Quinta propuesta universal: programa nacional de formación digital para mayores.</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6.7. [NUEVO] Medidas específicas con enfoque de género e interseccional</w:t>
      </w:r>
    </w:p>
    <w:p w:rsidR="00000000" w:rsidDel="00000000" w:rsidP="00000000" w:rsidRDefault="00000000" w:rsidRPr="00000000" w14:paraId="00000079">
      <w:pPr>
        <w:spacing w:after="160" w:before="80" w:lineRule="auto"/>
        <w:jc w:val="both"/>
        <w:rPr/>
      </w:pPr>
      <w:r w:rsidDel="00000000" w:rsidR="00000000" w:rsidRPr="00000000">
        <w:rPr>
          <w:sz w:val="24"/>
          <w:szCs w:val="24"/>
          <w:rtl w:val="0"/>
        </w:rPr>
        <w:t xml:space="preserve">El enfoque universal es condición necesaria pero no suficiente. Las medidas universales llegan a todos por definición, pero no llegan a todos con la misma eficacia. Una mujer mayor rural que no ha tenido nunca un smartphone necesita algo más que una tarifa de datos garantizada: necesita acompañamiento, formación adaptada, y un entorno de soporte que tenga en cuenta las barreras específicas que enfrenta. Esta sección propone el conjunto de medidas específicas con perspectiva de género que complementan el paquete universal.</w:t>
      </w:r>
      <w:r w:rsidDel="00000000" w:rsidR="00000000" w:rsidRPr="00000000">
        <w:rPr>
          <w:rtl w:val="0"/>
        </w:rPr>
      </w:r>
    </w:p>
    <w:p w:rsidR="00000000" w:rsidDel="00000000" w:rsidP="00000000" w:rsidRDefault="00000000" w:rsidRPr="00000000" w14:paraId="0000007A">
      <w:pPr>
        <w:spacing w:after="160" w:before="80" w:lineRule="auto"/>
        <w:jc w:val="both"/>
        <w:rPr/>
      </w:pPr>
      <w:r w:rsidDel="00000000" w:rsidR="00000000" w:rsidRPr="00000000">
        <w:rPr>
          <w:sz w:val="24"/>
          <w:szCs w:val="24"/>
          <w:rtl w:val="0"/>
        </w:rPr>
        <w:t xml:space="preserve">Primera medida específica: formación digital con perspectiva de género para mujeres mayores. El programa nacional de formación digital para mayores debe incluir un módulo específico para mujeres, con contenidos adaptados —citas médicas, banca, comunicación familiar, seguridad digital— impartidos en horarios y formatos que tengan en cuenta las responsabilidades de cuidado, y con monitoras especialmente formadas para trabajar con este perfil.</w:t>
      </w:r>
      <w:r w:rsidDel="00000000" w:rsidR="00000000" w:rsidRPr="00000000">
        <w:rPr>
          <w:rtl w:val="0"/>
        </w:rPr>
      </w:r>
    </w:p>
    <w:p w:rsidR="00000000" w:rsidDel="00000000" w:rsidP="00000000" w:rsidRDefault="00000000" w:rsidRPr="00000000" w14:paraId="0000007B">
      <w:pPr>
        <w:spacing w:after="160" w:before="80" w:lineRule="auto"/>
        <w:jc w:val="both"/>
        <w:rPr/>
      </w:pPr>
      <w:r w:rsidDel="00000000" w:rsidR="00000000" w:rsidRPr="00000000">
        <w:rPr>
          <w:sz w:val="24"/>
          <w:szCs w:val="24"/>
          <w:rtl w:val="0"/>
        </w:rPr>
        <w:t xml:space="preserve">Segunda medida específica: acompañamiento digital en servicios sociales con enfoque interseccional. Los equipos de servicios sociales deben incorporar profesionales con formación en inclusión digital e interseccionalidad, capaces de identificar a las personas con mayor exclusión múltiple —mujeres migrantes con hijos, mujeres mayores rurales sin red de apoyo, mujeres víctimas de violencia de género— y de diseñar itinerarios personalizados de inclusión digital.</w:t>
      </w:r>
      <w:r w:rsidDel="00000000" w:rsidR="00000000" w:rsidRPr="00000000">
        <w:rPr>
          <w:rtl w:val="0"/>
        </w:rPr>
      </w:r>
    </w:p>
    <w:p w:rsidR="00000000" w:rsidDel="00000000" w:rsidP="00000000" w:rsidRDefault="00000000" w:rsidRPr="00000000" w14:paraId="0000007C">
      <w:pPr>
        <w:spacing w:after="160" w:before="80" w:lineRule="auto"/>
        <w:jc w:val="both"/>
        <w:rPr/>
      </w:pPr>
      <w:r w:rsidDel="00000000" w:rsidR="00000000" w:rsidRPr="00000000">
        <w:rPr>
          <w:sz w:val="24"/>
          <w:szCs w:val="24"/>
          <w:rtl w:val="0"/>
        </w:rPr>
        <w:t xml:space="preserve">Tercera medida específica: becas y mentorías STEM para niñas de entornos desfavorecidos. Un programa nacional de becas de formación en programación, robótica y STEM dirigido específicamente a niñas de hogares con renta inferior al 60% de la mediana, con mentorías impartidas por mujeres profesionales del sector tecnológico. La UNESCO (2023) ha documentado que los programas de mentoría con referentes femeninos tienen un impacto significativamente mayor sobre la elección de estudios STEM por parte de las chicas adolescentes que los programas de información genérica.</w:t>
      </w:r>
      <w:r w:rsidDel="00000000" w:rsidR="00000000" w:rsidRPr="00000000">
        <w:rPr>
          <w:rtl w:val="0"/>
        </w:rPr>
      </w:r>
    </w:p>
    <w:p w:rsidR="00000000" w:rsidDel="00000000" w:rsidP="00000000" w:rsidRDefault="00000000" w:rsidRPr="00000000" w14:paraId="0000007D">
      <w:pPr>
        <w:spacing w:after="160" w:before="80" w:lineRule="auto"/>
        <w:jc w:val="both"/>
        <w:rPr/>
      </w:pPr>
      <w:r w:rsidDel="00000000" w:rsidR="00000000" w:rsidRPr="00000000">
        <w:rPr>
          <w:sz w:val="24"/>
          <w:szCs w:val="24"/>
          <w:rtl w:val="0"/>
        </w:rPr>
        <w:t xml:space="preserve">Cuarta medida específica: garantía de acceso a dispositivos y conectividad en centros de acogida y servicios de protección. Los centros de acogida para mujeres víctimas de violencia de género, los centros de menores en situación de desprotección y los centros de migrantes deben estar equipados con dispositivos y conexión de calidad, con especial atención a las madres jóvenes que necesitan conectividad para gestionar los procesos administrativos de su situación —solicitudes de ayudas, tramitación de documentación, comunicación con servicios sociales— y para continuar sus procesos formativos o laborales.</w:t>
      </w:r>
      <w:r w:rsidDel="00000000" w:rsidR="00000000" w:rsidRPr="00000000">
        <w:rPr>
          <w:rtl w:val="0"/>
        </w:rPr>
      </w:r>
    </w:p>
    <w:p w:rsidR="00000000" w:rsidDel="00000000" w:rsidP="00000000" w:rsidRDefault="00000000" w:rsidRPr="00000000" w14:paraId="0000007E">
      <w:pPr>
        <w:spacing w:after="160" w:before="80" w:lineRule="auto"/>
        <w:jc w:val="both"/>
        <w:rPr/>
      </w:pPr>
      <w:r w:rsidDel="00000000" w:rsidR="00000000" w:rsidRPr="00000000">
        <w:rPr>
          <w:sz w:val="24"/>
          <w:szCs w:val="24"/>
          <w:rtl w:val="0"/>
        </w:rPr>
        <w:t xml:space="preserve">Quinta medida específica: incorporación de la perspectiva de género en la evaluación de impacto de las políticas de conectividad. Todas las medidas de garantía de conectividad deben incluir indicadores desagregados por género, edad, nivel educativo, territorio y origen en sus sistemas de seguimiento y evaluación. Sin datos desagregados, no hay visibilidad de las brechas internas; sin visibilidad, no hay corrección. El EIGE (2024) ha desarrollado metodologías de evaluación de impacto de género en políticas digitales que España debería adoptar de forma sistemática.</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CAPÍTULO 7. DISCUSIÓN Y CONTRAARGUMENTOS</w:t>
      </w:r>
    </w:p>
    <w:p w:rsidR="00000000" w:rsidDel="00000000" w:rsidP="00000000" w:rsidRDefault="00000000" w:rsidRPr="00000000" w14:paraId="00000081">
      <w:pPr>
        <w:pStyle w:val="Heading2"/>
        <w:rPr/>
      </w:pPr>
      <w:r w:rsidDel="00000000" w:rsidR="00000000" w:rsidRPr="00000000">
        <w:rPr>
          <w:rtl w:val="0"/>
        </w:rPr>
        <w:t xml:space="preserve">7.1. ¿Es competencia estatal o autonómica?</w:t>
      </w:r>
    </w:p>
    <w:p w:rsidR="00000000" w:rsidDel="00000000" w:rsidP="00000000" w:rsidRDefault="00000000" w:rsidRPr="00000000" w14:paraId="00000082">
      <w:pPr>
        <w:spacing w:after="160" w:before="80" w:lineRule="auto"/>
        <w:jc w:val="both"/>
        <w:rPr/>
      </w:pPr>
      <w:r w:rsidDel="00000000" w:rsidR="00000000" w:rsidRPr="00000000">
        <w:rPr>
          <w:sz w:val="24"/>
          <w:szCs w:val="24"/>
          <w:rtl w:val="0"/>
        </w:rPr>
        <w:t xml:space="preserve">El reparto competencial en materia de telecomunicaciones está claramente establecido en el artículo 149.1.21ª de la Constitución Española, que atribuye al Estado la competencia exclusiva. La solución propuesta en este paper —incorporar el complemento de conectividad al IMV— es constitucional y técnicamente sólida precisamente porque el IMV es una prestación del sistema estatal de Seguridad Social.</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7.2. Riesgo de inflación de precios por las ayudas</w:t>
      </w:r>
    </w:p>
    <w:p w:rsidR="00000000" w:rsidDel="00000000" w:rsidP="00000000" w:rsidRDefault="00000000" w:rsidRPr="00000000" w14:paraId="00000084">
      <w:pPr>
        <w:spacing w:after="160" w:before="80" w:lineRule="auto"/>
        <w:jc w:val="both"/>
        <w:rPr/>
      </w:pPr>
      <w:r w:rsidDel="00000000" w:rsidR="00000000" w:rsidRPr="00000000">
        <w:rPr>
          <w:sz w:val="24"/>
          <w:szCs w:val="24"/>
          <w:rtl w:val="0"/>
        </w:rPr>
        <w:t xml:space="preserve">En el mercado de banda ancha, el riesgo de inflación puede gestionarse eficazmente mediante la fijación de un precio máximo para las tarifas acogidas al sistema de complemento, y mediante el poder de negociación del Estado como comprador agregado de decenas de millones de euros en servicios de telecomunicaciones.</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7.3. Objeciones desde la economía liberal</w:t>
      </w:r>
    </w:p>
    <w:p w:rsidR="00000000" w:rsidDel="00000000" w:rsidP="00000000" w:rsidRDefault="00000000" w:rsidRPr="00000000" w14:paraId="00000086">
      <w:pPr>
        <w:spacing w:after="160" w:before="80" w:lineRule="auto"/>
        <w:jc w:val="both"/>
        <w:rPr/>
      </w:pPr>
      <w:r w:rsidDel="00000000" w:rsidR="00000000" w:rsidRPr="00000000">
        <w:rPr>
          <w:sz w:val="24"/>
          <w:szCs w:val="24"/>
          <w:rtl w:val="0"/>
        </w:rPr>
        <w:t xml:space="preserve">Los críticos de la intervención pública argumentan que los subsidios distorsionan la señal de precios y crean dependencias. Sin embargo, como se ha argumentado, el mercado tiene fallos estructurales en la provisión de conectividad universal que la competencia no puede corregir por sí sola.</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7.4. El reto de la obsolescencia tecnológica</w:t>
      </w:r>
    </w:p>
    <w:p w:rsidR="00000000" w:rsidDel="00000000" w:rsidP="00000000" w:rsidRDefault="00000000" w:rsidRPr="00000000" w14:paraId="00000088">
      <w:pPr>
        <w:spacing w:after="160" w:before="80" w:lineRule="auto"/>
        <w:jc w:val="both"/>
        <w:rPr/>
      </w:pPr>
      <w:r w:rsidDel="00000000" w:rsidR="00000000" w:rsidRPr="00000000">
        <w:rPr>
          <w:sz w:val="24"/>
          <w:szCs w:val="24"/>
          <w:rtl w:val="0"/>
        </w:rPr>
        <w:t xml:space="preserve">Los estándares de conectividad evolucionan rápidamente. La solución es estructural: el sistema de garantías debe incluir un mecanismo de actualización periódica de los estándares técnicos mínimos, vinculado a la evolución del estándar social de uso de internet.</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7.5. [NUEVO] ¿Es sostenible la universalidad?</w:t>
      </w:r>
    </w:p>
    <w:p w:rsidR="00000000" w:rsidDel="00000000" w:rsidP="00000000" w:rsidRDefault="00000000" w:rsidRPr="00000000" w14:paraId="0000008A">
      <w:pPr>
        <w:spacing w:after="160" w:before="80" w:lineRule="auto"/>
        <w:jc w:val="both"/>
        <w:rPr/>
      </w:pPr>
      <w:r w:rsidDel="00000000" w:rsidR="00000000" w:rsidRPr="00000000">
        <w:rPr>
          <w:sz w:val="24"/>
          <w:szCs w:val="24"/>
          <w:rtl w:val="0"/>
        </w:rPr>
        <w:t xml:space="preserve">La objeción más frecuente contra los modelos universales es la del coste. Esta objeción merece una respuesta estructurada. En primer lugar, los costes brutos de la universalidad se compensan parcialmente por la reducción de los costes administrativos de la focalización. En segundo lugar, los costes de la universalidad se compensan por los beneficios de segunda ronda. En tercer lugar, hay fuentes de financiación no exploradas que podrían contribuir a sufragar el coste de la universalidad sin aumentar significativamente la presión fiscal sobre la población general.</w:t>
      </w:r>
      <w:r w:rsidDel="00000000" w:rsidR="00000000" w:rsidRPr="00000000">
        <w:rPr>
          <w:rtl w:val="0"/>
        </w:rPr>
      </w:r>
    </w:p>
    <w:p w:rsidR="00000000" w:rsidDel="00000000" w:rsidP="00000000" w:rsidRDefault="00000000" w:rsidRPr="00000000" w14:paraId="0000008B">
      <w:pPr>
        <w:spacing w:after="160" w:before="80" w:lineRule="auto"/>
        <w:jc w:val="both"/>
        <w:rPr/>
      </w:pPr>
      <w:r w:rsidDel="00000000" w:rsidR="00000000" w:rsidRPr="00000000">
        <w:rPr>
          <w:sz w:val="24"/>
          <w:szCs w:val="24"/>
          <w:rtl w:val="0"/>
        </w:rPr>
        <w:t xml:space="preserve">A estos tres argumentos debe añadirse un cuarto, específico de género: los costes de la exclusión digital de las mujeres son enormes y sistemáticamente subcontabilizados. La pérdida de productividad laboral de las mujeres que no tienen competencias digitales adecuadas, los costes sanitarios derivados del aislamiento de las mujeres mayores excluidas digitalmente, y el coste de oportunidad de las niñas que no desarrollan vocaciones STEM por falta de estímulos y acceso son externalidades de la no-inversión en inclusión digital con perspectiva de género que ningún análisis de sostenibilidad presupuestaria debería ignorar.</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CAPÍTULO 8. CONCLUSIONES Y KOAN</w:t>
      </w:r>
    </w:p>
    <w:p w:rsidR="00000000" w:rsidDel="00000000" w:rsidP="00000000" w:rsidRDefault="00000000" w:rsidRPr="00000000" w14:paraId="0000008E">
      <w:pPr>
        <w:pStyle w:val="Heading2"/>
        <w:rPr/>
      </w:pPr>
      <w:r w:rsidDel="00000000" w:rsidR="00000000" w:rsidRPr="00000000">
        <w:rPr>
          <w:rtl w:val="0"/>
        </w:rPr>
        <w:t xml:space="preserve">8.1. Recapitulación de los argumentos</w:t>
      </w:r>
    </w:p>
    <w:p w:rsidR="00000000" w:rsidDel="00000000" w:rsidP="00000000" w:rsidRDefault="00000000" w:rsidRPr="00000000" w14:paraId="0000008F">
      <w:pPr>
        <w:spacing w:after="160" w:before="80" w:lineRule="auto"/>
        <w:jc w:val="both"/>
        <w:rPr/>
      </w:pPr>
      <w:r w:rsidDel="00000000" w:rsidR="00000000" w:rsidRPr="00000000">
        <w:rPr>
          <w:sz w:val="24"/>
          <w:szCs w:val="24"/>
          <w:rtl w:val="0"/>
        </w:rPr>
        <w:t xml:space="preserve">Este paper ha construido un argumento de múltiples capas para sostener que el acceso a internet de banda ancha debe ser garantizado como servicio básico universal, con especial atención a la infancia, a las personas mayores, a los hogares en situación de vulnerabilidad económica, y —en esta edición— a las mujeres y a los grupos con exclusión múltiple desde una perspectiva interseccional.</w:t>
      </w:r>
      <w:r w:rsidDel="00000000" w:rsidR="00000000" w:rsidRPr="00000000">
        <w:rPr>
          <w:rtl w:val="0"/>
        </w:rPr>
      </w:r>
    </w:p>
    <w:p w:rsidR="00000000" w:rsidDel="00000000" w:rsidP="00000000" w:rsidRDefault="00000000" w:rsidRPr="00000000" w14:paraId="00000090">
      <w:pPr>
        <w:spacing w:after="160" w:before="80" w:lineRule="auto"/>
        <w:jc w:val="both"/>
        <w:rPr/>
      </w:pPr>
      <w:r w:rsidDel="00000000" w:rsidR="00000000" w:rsidRPr="00000000">
        <w:rPr>
          <w:sz w:val="24"/>
          <w:szCs w:val="24"/>
          <w:rtl w:val="0"/>
        </w:rPr>
        <w:t xml:space="preserve">En el plano normativo, la evolución desde la telefonía fija hasta la banda ancha y la telefonía móvil de datos describe una trayectoria de reconocimiento tardío y aplicación insuficiente que debe revertirse con medidas estructurales, no con programas temporales. La LGT de 2022 avanza en la dirección correcta pero no va suficientemente lejos, y no incorpora la perspectiva de género como eje transversal.</w:t>
      </w:r>
      <w:r w:rsidDel="00000000" w:rsidR="00000000" w:rsidRPr="00000000">
        <w:rPr>
          <w:rtl w:val="0"/>
        </w:rPr>
      </w:r>
    </w:p>
    <w:p w:rsidR="00000000" w:rsidDel="00000000" w:rsidP="00000000" w:rsidRDefault="00000000" w:rsidRPr="00000000" w14:paraId="00000091">
      <w:pPr>
        <w:spacing w:after="160" w:before="80" w:lineRule="auto"/>
        <w:jc w:val="both"/>
        <w:rPr/>
      </w:pPr>
      <w:r w:rsidDel="00000000" w:rsidR="00000000" w:rsidRPr="00000000">
        <w:rPr>
          <w:sz w:val="24"/>
          <w:szCs w:val="24"/>
          <w:rtl w:val="0"/>
        </w:rPr>
        <w:t xml:space="preserve">En el plano empírico, los datos del INE (2024), el ONTSI (2024), el EIGE (2024) y la Fundación Telefónica (2025) confirman que la brecha digital en España es real, multicausal, estratificada y tiene un perfil de género muy marcado. Las mujeres mayores rurales con bajo nivel educativo son el grupo con mayor exclusión digital acumulada. Esta conclusión empírica tiene implicaciones directas para el diseño de las políticas públicas.</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8.2. La urgencia del momento</w:t>
      </w:r>
    </w:p>
    <w:p w:rsidR="00000000" w:rsidDel="00000000" w:rsidP="00000000" w:rsidRDefault="00000000" w:rsidRPr="00000000" w14:paraId="00000093">
      <w:pPr>
        <w:spacing w:after="160" w:before="80" w:lineRule="auto"/>
        <w:jc w:val="both"/>
        <w:rPr/>
      </w:pPr>
      <w:r w:rsidDel="00000000" w:rsidR="00000000" w:rsidRPr="00000000">
        <w:rPr>
          <w:sz w:val="24"/>
          <w:szCs w:val="24"/>
          <w:rtl w:val="0"/>
        </w:rPr>
        <w:t xml:space="preserve">El mundo digital no espera. La inteligencia artificial generativa está transformando el mercado de trabajo a una velocidad sin precedentes. Las herramientas que están redibujando el horizonte de lo posible para quienes tienen acceso están simultáneamente ensanchando el horizonte de la exclusión para quienes no lo tienen. La brecha digital de hoy es la brecha de la IA de mañana.</w:t>
      </w:r>
      <w:r w:rsidDel="00000000" w:rsidR="00000000" w:rsidRPr="00000000">
        <w:rPr>
          <w:rtl w:val="0"/>
        </w:rPr>
      </w:r>
    </w:p>
    <w:p w:rsidR="00000000" w:rsidDel="00000000" w:rsidP="00000000" w:rsidRDefault="00000000" w:rsidRPr="00000000" w14:paraId="00000094">
      <w:pPr>
        <w:spacing w:after="160" w:before="80" w:lineRule="auto"/>
        <w:jc w:val="both"/>
        <w:rPr/>
      </w:pPr>
      <w:r w:rsidDel="00000000" w:rsidR="00000000" w:rsidRPr="00000000">
        <w:rPr>
          <w:sz w:val="24"/>
          <w:szCs w:val="24"/>
          <w:rtl w:val="0"/>
        </w:rPr>
        <w:t xml:space="preserve">Y la brecha de la IA tiene género. Los modelos de IA generativa están siendo entrenados con datos que reproducen los sesgos de género existentes en la producción cultural e informacional humana. Las mujeres que no tienen acceso a internet no podrán beneficiarse de las herramientas de IA que podrían potenciar su autonomía, su formación y su inserción laboral. La exclusión digital femenina en la era de la IA no es una cuestión de desigualdad digital: es una cuestión de exclusión del futuro.</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8.3. Voces de la brecha</w:t>
      </w:r>
    </w:p>
    <w:p w:rsidR="00000000" w:rsidDel="00000000" w:rsidP="00000000" w:rsidRDefault="00000000" w:rsidRPr="00000000" w14:paraId="00000096">
      <w:pPr>
        <w:spacing w:after="160" w:before="80" w:lineRule="auto"/>
        <w:jc w:val="both"/>
        <w:rPr/>
      </w:pPr>
      <w:r w:rsidDel="00000000" w:rsidR="00000000" w:rsidRPr="00000000">
        <w:rPr>
          <w:sz w:val="24"/>
          <w:szCs w:val="24"/>
          <w:rtl w:val="0"/>
        </w:rPr>
        <w:t xml:space="preserve">Una madre de tres hijos en Extremadura: «Mis hijos tienen que hacer los deberes en la biblioteca, que cierra a las ocho de la tarde. Los fines de semana, no hay biblioteca.»</w:t>
      </w:r>
      <w:r w:rsidDel="00000000" w:rsidR="00000000" w:rsidRPr="00000000">
        <w:rPr>
          <w:rtl w:val="0"/>
        </w:rPr>
      </w:r>
    </w:p>
    <w:p w:rsidR="00000000" w:rsidDel="00000000" w:rsidP="00000000" w:rsidRDefault="00000000" w:rsidRPr="00000000" w14:paraId="00000097">
      <w:pPr>
        <w:spacing w:after="160" w:before="80" w:lineRule="auto"/>
        <w:jc w:val="both"/>
        <w:rPr/>
      </w:pPr>
      <w:r w:rsidDel="00000000" w:rsidR="00000000" w:rsidRPr="00000000">
        <w:rPr>
          <w:sz w:val="24"/>
          <w:szCs w:val="24"/>
          <w:rtl w:val="0"/>
        </w:rPr>
        <w:t xml:space="preserve">Un mayor de 72 años de un pueblo de Castilla: «El médico me dijo que pida la cita por la aplicación. Yo no sé qué es una aplicación. Llevo tres meses sin revisión.»</w:t>
      </w:r>
      <w:r w:rsidDel="00000000" w:rsidR="00000000" w:rsidRPr="00000000">
        <w:rPr>
          <w:rtl w:val="0"/>
        </w:rPr>
      </w:r>
    </w:p>
    <w:p w:rsidR="00000000" w:rsidDel="00000000" w:rsidP="00000000" w:rsidRDefault="00000000" w:rsidRPr="00000000" w14:paraId="00000098">
      <w:pPr>
        <w:spacing w:after="160" w:before="80" w:lineRule="auto"/>
        <w:jc w:val="both"/>
        <w:rPr/>
      </w:pPr>
      <w:r w:rsidDel="00000000" w:rsidR="00000000" w:rsidRPr="00000000">
        <w:rPr>
          <w:sz w:val="24"/>
          <w:szCs w:val="24"/>
          <w:rtl w:val="0"/>
        </w:rPr>
        <w:t xml:space="preserve">Una joven de 23 años de origen marroquí en un barrio de Madrid: «Tengo estudios de bachillerato pero no sé usar el ordenador bien. En el trabajo me piden el Excel y no sé. Nadie me enseñó.»</w:t>
      </w:r>
      <w:r w:rsidDel="00000000" w:rsidR="00000000" w:rsidRPr="00000000">
        <w:rPr>
          <w:rtl w:val="0"/>
        </w:rPr>
      </w:r>
    </w:p>
    <w:p w:rsidR="00000000" w:rsidDel="00000000" w:rsidP="00000000" w:rsidRDefault="00000000" w:rsidRPr="00000000" w14:paraId="00000099">
      <w:pPr>
        <w:spacing w:after="160" w:before="80" w:lineRule="auto"/>
        <w:jc w:val="both"/>
        <w:rPr/>
      </w:pPr>
      <w:r w:rsidDel="00000000" w:rsidR="00000000" w:rsidRPr="00000000">
        <w:rPr>
          <w:sz w:val="24"/>
          <w:szCs w:val="24"/>
          <w:rtl w:val="0"/>
        </w:rPr>
        <w:t xml:space="preserve">Una educadora social de Barcelona: «Estamos digitalizando los servicios pero no garantizando el acceso. Es como construir autopistas y luego cobrar peaje a los que no tienen coche.»</w:t>
      </w:r>
      <w:r w:rsidDel="00000000" w:rsidR="00000000" w:rsidRPr="00000000">
        <w:rPr>
          <w:rtl w:val="0"/>
        </w:rPr>
      </w:r>
    </w:p>
    <w:p w:rsidR="00000000" w:rsidDel="00000000" w:rsidP="00000000" w:rsidRDefault="00000000" w:rsidRPr="00000000" w14:paraId="0000009A">
      <w:pPr>
        <w:spacing w:after="160" w:before="80" w:lineRule="auto"/>
        <w:jc w:val="both"/>
        <w:rPr/>
      </w:pPr>
      <w:r w:rsidDel="00000000" w:rsidR="00000000" w:rsidRPr="00000000">
        <w:rPr>
          <w:sz w:val="24"/>
          <w:szCs w:val="24"/>
          <w:rtl w:val="0"/>
        </w:rPr>
        <w:t xml:space="preserve">Una investigadora predoctoral de una universidad pequeña: «No puedo acceder al paper que necesito para mi tesis porque mi universidad no tiene suscripción a esa revista. El artículo cuesta 35 dólares. No tengo 35 dólares.»</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8.4. Koan</w:t>
      </w:r>
    </w:p>
    <w:p w:rsidR="00000000" w:rsidDel="00000000" w:rsidP="00000000" w:rsidRDefault="00000000" w:rsidRPr="00000000" w14:paraId="0000009C">
      <w:pPr>
        <w:spacing w:after="240" w:before="480" w:lineRule="auto"/>
        <w:jc w:val="center"/>
        <w:rPr/>
      </w:pPr>
      <w:r w:rsidDel="00000000" w:rsidR="00000000" w:rsidRPr="00000000">
        <w:rPr>
          <w:i w:val="1"/>
          <w:iCs w:val="1"/>
          <w:sz w:val="26"/>
          <w:szCs w:val="26"/>
          <w:rtl w:val="0"/>
        </w:rPr>
        <w:t xml:space="preserve">Si un niño no puede conectarse a la red para aprender,</w:t>
      </w:r>
      <w:r w:rsidDel="00000000" w:rsidR="00000000" w:rsidRPr="00000000">
        <w:rPr>
          <w:rtl w:val="0"/>
        </w:rPr>
      </w:r>
    </w:p>
    <w:p w:rsidR="00000000" w:rsidDel="00000000" w:rsidP="00000000" w:rsidRDefault="00000000" w:rsidRPr="00000000" w14:paraId="0000009D">
      <w:pPr>
        <w:spacing w:after="240" w:before="0" w:lineRule="auto"/>
        <w:jc w:val="center"/>
        <w:rPr/>
      </w:pPr>
      <w:r w:rsidDel="00000000" w:rsidR="00000000" w:rsidRPr="00000000">
        <w:rPr>
          <w:i w:val="1"/>
          <w:iCs w:val="1"/>
          <w:sz w:val="26"/>
          <w:szCs w:val="26"/>
          <w:rtl w:val="0"/>
        </w:rPr>
        <w:t xml:space="preserve">¿está realmente ejerciendo su derecho a la educación?</w:t>
      </w:r>
      <w:r w:rsidDel="00000000" w:rsidR="00000000" w:rsidRPr="00000000">
        <w:rPr>
          <w:rtl w:val="0"/>
        </w:rPr>
      </w:r>
    </w:p>
    <w:p w:rsidR="00000000" w:rsidDel="00000000" w:rsidP="00000000" w:rsidRDefault="00000000" w:rsidRPr="00000000" w14:paraId="0000009E">
      <w:pPr>
        <w:spacing w:after="240" w:before="0" w:lineRule="auto"/>
        <w:jc w:val="center"/>
        <w:rPr/>
      </w:pPr>
      <w:r w:rsidDel="00000000" w:rsidR="00000000" w:rsidRPr="00000000">
        <w:rPr>
          <w:i w:val="1"/>
          <w:iCs w:val="1"/>
          <w:sz w:val="26"/>
          <w:szCs w:val="26"/>
          <w:rtl w:val="0"/>
        </w:rPr>
        <w:t xml:space="preserve">Si un mayor no puede acceder al médico sin smartphone,</w:t>
      </w:r>
      <w:r w:rsidDel="00000000" w:rsidR="00000000" w:rsidRPr="00000000">
        <w:rPr>
          <w:rtl w:val="0"/>
        </w:rPr>
      </w:r>
    </w:p>
    <w:p w:rsidR="00000000" w:rsidDel="00000000" w:rsidP="00000000" w:rsidRDefault="00000000" w:rsidRPr="00000000" w14:paraId="0000009F">
      <w:pPr>
        <w:spacing w:after="240" w:before="0" w:lineRule="auto"/>
        <w:jc w:val="center"/>
        <w:rPr/>
      </w:pPr>
      <w:r w:rsidDel="00000000" w:rsidR="00000000" w:rsidRPr="00000000">
        <w:rPr>
          <w:i w:val="1"/>
          <w:iCs w:val="1"/>
          <w:sz w:val="26"/>
          <w:szCs w:val="26"/>
          <w:rtl w:val="0"/>
        </w:rPr>
        <w:t xml:space="preserve">¿está realmente ejerciendo su derecho a la salud?</w:t>
      </w:r>
      <w:r w:rsidDel="00000000" w:rsidR="00000000" w:rsidRPr="00000000">
        <w:rPr>
          <w:rtl w:val="0"/>
        </w:rPr>
      </w:r>
    </w:p>
    <w:p w:rsidR="00000000" w:rsidDel="00000000" w:rsidP="00000000" w:rsidRDefault="00000000" w:rsidRPr="00000000" w14:paraId="000000A0">
      <w:pPr>
        <w:spacing w:after="240" w:before="0" w:lineRule="auto"/>
        <w:jc w:val="center"/>
        <w:rPr/>
      </w:pPr>
      <w:r w:rsidDel="00000000" w:rsidR="00000000" w:rsidRPr="00000000">
        <w:rPr>
          <w:i w:val="1"/>
          <w:iCs w:val="1"/>
          <w:sz w:val="26"/>
          <w:szCs w:val="26"/>
          <w:rtl w:val="0"/>
        </w:rPr>
        <w:t xml:space="preserve">Si la mujer que envejece sola en el pueblo sin smartphone</w:t>
      </w:r>
      <w:r w:rsidDel="00000000" w:rsidR="00000000" w:rsidRPr="00000000">
        <w:rPr>
          <w:rtl w:val="0"/>
        </w:rPr>
      </w:r>
    </w:p>
    <w:p w:rsidR="00000000" w:rsidDel="00000000" w:rsidP="00000000" w:rsidRDefault="00000000" w:rsidRPr="00000000" w14:paraId="000000A1">
      <w:pPr>
        <w:spacing w:after="240" w:before="0" w:lineRule="auto"/>
        <w:jc w:val="center"/>
        <w:rPr/>
      </w:pPr>
      <w:r w:rsidDel="00000000" w:rsidR="00000000" w:rsidRPr="00000000">
        <w:rPr>
          <w:i w:val="1"/>
          <w:iCs w:val="1"/>
          <w:sz w:val="26"/>
          <w:szCs w:val="26"/>
          <w:rtl w:val="0"/>
        </w:rPr>
        <w:t xml:space="preserve">no aparece en ninguna estadística de la exclusión digital,</w:t>
      </w:r>
      <w:r w:rsidDel="00000000" w:rsidR="00000000" w:rsidRPr="00000000">
        <w:rPr>
          <w:rtl w:val="0"/>
        </w:rPr>
      </w:r>
    </w:p>
    <w:p w:rsidR="00000000" w:rsidDel="00000000" w:rsidP="00000000" w:rsidRDefault="00000000" w:rsidRPr="00000000" w14:paraId="000000A2">
      <w:pPr>
        <w:spacing w:after="480" w:before="0" w:lineRule="auto"/>
        <w:jc w:val="center"/>
        <w:rPr/>
      </w:pPr>
      <w:r w:rsidDel="00000000" w:rsidR="00000000" w:rsidRPr="00000000">
        <w:rPr>
          <w:i w:val="1"/>
          <w:iCs w:val="1"/>
          <w:sz w:val="26"/>
          <w:szCs w:val="26"/>
          <w:rtl w:val="0"/>
        </w:rPr>
        <w:t xml:space="preserve">¿existe su exclusión?</w:t>
      </w:r>
      <w:r w:rsidDel="00000000" w:rsidR="00000000" w:rsidRPr="00000000">
        <w:rPr>
          <w:rtl w:val="0"/>
        </w:rPr>
      </w:r>
    </w:p>
    <w:p w:rsidR="00000000" w:rsidDel="00000000" w:rsidP="00000000" w:rsidRDefault="00000000" w:rsidRPr="00000000" w14:paraId="000000A3">
      <w:pPr>
        <w:spacing w:after="240" w:before="240" w:lineRule="auto"/>
        <w:jc w:val="center"/>
        <w:rPr/>
      </w:pPr>
      <w:r w:rsidDel="00000000" w:rsidR="00000000" w:rsidRPr="00000000">
        <w:rPr>
          <w:b w:val="1"/>
          <w:bCs w:val="1"/>
          <w:sz w:val="32"/>
          <w:szCs w:val="32"/>
          <w:rtl w:val="0"/>
        </w:rPr>
        <w:t xml:space="preserve">ZEHAHAHAHA.</w:t>
      </w:r>
      <w:r w:rsidDel="00000000" w:rsidR="00000000" w:rsidRPr="00000000">
        <w:rPr>
          <w:rtl w:val="0"/>
        </w:rPr>
      </w:r>
    </w:p>
    <w:p w:rsidR="00000000" w:rsidDel="00000000" w:rsidP="00000000" w:rsidRDefault="00000000" w:rsidRPr="00000000" w14:paraId="000000A4">
      <w:pPr>
        <w:spacing w:after="480" w:before="0" w:lineRule="auto"/>
        <w:jc w:val="center"/>
        <w:rPr/>
      </w:pPr>
      <w:r w:rsidDel="00000000" w:rsidR="00000000" w:rsidRPr="00000000">
        <w:rPr>
          <w:b w:val="1"/>
          <w:bCs w:val="1"/>
          <w:sz w:val="32"/>
          <w:szCs w:val="32"/>
          <w:rtl w:val="0"/>
        </w:rPr>
        <w:t xml:space="preserve">1310</w:t>
      </w: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CAPÍTULO 9. GÉNERO, INTERSECCIONALIDAD Y CICLO VITAL: LA BRECHA DIGITAL QUE NO SE VE</w:t>
      </w:r>
    </w:p>
    <w:p w:rsidR="00000000" w:rsidDel="00000000" w:rsidP="00000000" w:rsidRDefault="00000000" w:rsidRPr="00000000" w14:paraId="000000A7">
      <w:pPr>
        <w:pStyle w:val="Heading2"/>
        <w:rPr/>
      </w:pPr>
      <w:r w:rsidDel="00000000" w:rsidR="00000000" w:rsidRPr="00000000">
        <w:rPr>
          <w:rtl w:val="0"/>
        </w:rPr>
        <w:t xml:space="preserve">9.1. Introducción: por qué el género importa en la conectividad</w:t>
      </w:r>
    </w:p>
    <w:p w:rsidR="00000000" w:rsidDel="00000000" w:rsidP="00000000" w:rsidRDefault="00000000" w:rsidRPr="00000000" w14:paraId="000000A8">
      <w:pPr>
        <w:spacing w:after="160" w:before="80" w:lineRule="auto"/>
        <w:jc w:val="both"/>
        <w:rPr/>
      </w:pPr>
      <w:r w:rsidDel="00000000" w:rsidR="00000000" w:rsidRPr="00000000">
        <w:rPr>
          <w:sz w:val="24"/>
          <w:szCs w:val="24"/>
          <w:rtl w:val="0"/>
        </w:rPr>
        <w:t xml:space="preserve">La brecha digital no es un fenómeno abstracto. Está atravesada por relaciones de poder, roles de género y divisiones sexuales del trabajo que se reproducen en el espacio digital. Cuando se habla de «la brecha digital» en singular, se homogeneiza una realidad que es radicalmente heterogénea. No hay una brecha: hay brechas que se superponen, se amplifican y se invisibilizan mutuamente.</w:t>
      </w:r>
      <w:r w:rsidDel="00000000" w:rsidR="00000000" w:rsidRPr="00000000">
        <w:rPr>
          <w:rtl w:val="0"/>
        </w:rPr>
      </w:r>
    </w:p>
    <w:p w:rsidR="00000000" w:rsidDel="00000000" w:rsidP="00000000" w:rsidRDefault="00000000" w:rsidRPr="00000000" w14:paraId="000000A9">
      <w:pPr>
        <w:spacing w:after="160" w:before="80" w:lineRule="auto"/>
        <w:jc w:val="both"/>
        <w:rPr/>
      </w:pPr>
      <w:r w:rsidDel="00000000" w:rsidR="00000000" w:rsidRPr="00000000">
        <w:rPr>
          <w:sz w:val="24"/>
          <w:szCs w:val="24"/>
          <w:rtl w:val="0"/>
        </w:rPr>
        <w:t xml:space="preserve">La economía feminista y los estudios de ciencia, tecnología y género (STS) llevan décadas advirtiendo que el acceso, el uso y las competencias digitales están mediados por desigualdades preexistentes. Judy Wajcman, en TechnoFeminism (2004), argumentó que la tecnología no es una fuerza exterior neutral que impacta sobre las relaciones de género: es ella misma un producto de esas relaciones, diseñada en contextos marcados por el género, que reproduce y amplifica las jerarquías existentes.</w:t>
      </w:r>
      <w:r w:rsidDel="00000000" w:rsidR="00000000" w:rsidRPr="00000000">
        <w:rPr>
          <w:rtl w:val="0"/>
        </w:rPr>
      </w:r>
    </w:p>
    <w:p w:rsidR="00000000" w:rsidDel="00000000" w:rsidP="00000000" w:rsidRDefault="00000000" w:rsidRPr="00000000" w14:paraId="000000AA">
      <w:pPr>
        <w:spacing w:after="160" w:before="80" w:lineRule="auto"/>
        <w:jc w:val="both"/>
        <w:rPr/>
      </w:pPr>
      <w:r w:rsidDel="00000000" w:rsidR="00000000" w:rsidRPr="00000000">
        <w:rPr>
          <w:sz w:val="24"/>
          <w:szCs w:val="24"/>
          <w:rtl w:val="0"/>
        </w:rPr>
        <w:t xml:space="preserve">Cecilia Castaño, en La segunda brecha digital (2008), introdujo el concepto en el contexto español: incluso cuando las mujeres cruzan la primera brecha —el acceso a internet—, persiste una segunda brecha en el tipo de uso, en el nivel de competencias y en los beneficios obtenidos. Esta segunda brecha es más difícil de medir, más difícil de corregir y más difícil de comunicar políticamente que la primera, porque no se expresa en términos de conexión o no conexión sino en términos de calidad, autonomía y beneficio diferencial del uso digital.</w:t>
      </w:r>
      <w:r w:rsidDel="00000000" w:rsidR="00000000" w:rsidRPr="00000000">
        <w:rPr>
          <w:rtl w:val="0"/>
        </w:rPr>
      </w:r>
    </w:p>
    <w:p w:rsidR="00000000" w:rsidDel="00000000" w:rsidP="00000000" w:rsidRDefault="00000000" w:rsidRPr="00000000" w14:paraId="000000AB">
      <w:pPr>
        <w:spacing w:after="160" w:before="80" w:lineRule="auto"/>
        <w:jc w:val="both"/>
        <w:rPr/>
      </w:pPr>
      <w:r w:rsidDel="00000000" w:rsidR="00000000" w:rsidRPr="00000000">
        <w:rPr>
          <w:sz w:val="24"/>
          <w:szCs w:val="24"/>
          <w:rtl w:val="0"/>
        </w:rPr>
        <w:t xml:space="preserve">Rosalind Gill (2020), en Gender and Digital Culture, añadió una tercera capa: la cultura digital en sí misma —sus normas, sus comunidades, sus plataformas— está atravesada por dinámicas de género que producen experiencias radicalmente distintas para hombres y mujeres en el mismo espacio tecnológico. El acoso en línea, la infrarrepresentación de las mujeres en los espacios de producción de contenido técnico, la monetización diferencial de la audiencia femenina: son fenómenos que requieren análisis de género, no solo análisis de acceso.</w:t>
      </w:r>
      <w:r w:rsidDel="00000000" w:rsidR="00000000" w:rsidRPr="00000000">
        <w:rPr>
          <w:rtl w:val="0"/>
        </w:rPr>
      </w:r>
    </w:p>
    <w:p w:rsidR="00000000" w:rsidDel="00000000" w:rsidP="00000000" w:rsidRDefault="00000000" w:rsidRPr="00000000" w14:paraId="000000AC">
      <w:pPr>
        <w:spacing w:after="160" w:before="80" w:lineRule="auto"/>
        <w:jc w:val="both"/>
        <w:rPr/>
      </w:pPr>
      <w:r w:rsidDel="00000000" w:rsidR="00000000" w:rsidRPr="00000000">
        <w:rPr>
          <w:sz w:val="24"/>
          <w:szCs w:val="24"/>
          <w:rtl w:val="0"/>
        </w:rPr>
        <w:t xml:space="preserve">Este capítulo sistematiza esas tres capas —acceso diferencial, uso diferencial, experiencia diferencial— a lo largo del ciclo vital, desde la infancia hasta la vejez, y las articula con otros marcadores sociales —origen migratorio, nivel educativo, territorio, discapacidad— para ofrecer un mapa interseccional de la brecha digital que no se ve.</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9.2. Datos desagregados en España: un mapa de la desigualdad</w:t>
      </w:r>
    </w:p>
    <w:p w:rsidR="00000000" w:rsidDel="00000000" w:rsidP="00000000" w:rsidRDefault="00000000" w:rsidRPr="00000000" w14:paraId="000000AE">
      <w:pPr>
        <w:spacing w:after="160" w:before="80" w:lineRule="auto"/>
        <w:jc w:val="both"/>
        <w:rPr/>
      </w:pPr>
      <w:r w:rsidDel="00000000" w:rsidR="00000000" w:rsidRPr="00000000">
        <w:rPr>
          <w:sz w:val="24"/>
          <w:szCs w:val="24"/>
          <w:rtl w:val="0"/>
        </w:rPr>
        <w:t xml:space="preserve">Los datos del INE (Encuesta TIC Hogares 2024) y del ONTSI (2024), cuando se desagregan por género, revelan un mapa de desigualdad que el dato agregado oculta. La diferencia en tasas de uso de internet entre hombres y mujeres en el conjunto de la población es aparentemente pequeña: 3,2 puntos porcentuales (hombres 86,7%, mujeres 83,5%). Pero esa diferencia explota cuando se combina con otros factores.</w:t>
      </w:r>
      <w:r w:rsidDel="00000000" w:rsidR="00000000" w:rsidRPr="00000000">
        <w:rPr>
          <w:rtl w:val="0"/>
        </w:rPr>
      </w:r>
    </w:p>
    <w:p w:rsidR="00000000" w:rsidDel="00000000" w:rsidP="00000000" w:rsidRDefault="00000000" w:rsidRPr="00000000" w14:paraId="000000AF">
      <w:pPr>
        <w:spacing w:after="160" w:before="80" w:lineRule="auto"/>
        <w:jc w:val="both"/>
        <w:rPr/>
      </w:pPr>
      <w:r w:rsidDel="00000000" w:rsidR="00000000" w:rsidRPr="00000000">
        <w:rPr>
          <w:sz w:val="24"/>
          <w:szCs w:val="24"/>
          <w:rtl w:val="0"/>
        </w:rPr>
        <w:t xml:space="preserve">Brecha de acceso: la diferencia de género en disposición de smartphone es de 4,1 puntos en el conjunto de la población adulta, pero sube al 18,3 puntos entre los mayores de 65 años y al 27,6 puntos entre los mayores de 75 años en zonas rurales. Brecha de uso: el 72,3% de los hombres que usan internet declara usarlo para formación o desarrollo profesional, frente al 61,8% de las mujeres; la diferencia se invierte en actividades de gestión doméstica y familiar en línea (mujeres 67,4%, hombres 48,2%), lo que confirma la hipótesis de la «doble presencia» digital de Helsper (2021). Brecha de competencias: el 67,4% de los hombres se autovalora con competencias digitales básicas o superiores, frente al 58,9% de las mujeres; la brecha es significativamente mayor en competencias avanzadas: programación (hombres 18,2%, mujeres 6,7%), seguridad digital (hombres 41,3%, mujeres 27,8%).</w:t>
      </w:r>
      <w:r w:rsidDel="00000000" w:rsidR="00000000" w:rsidRPr="00000000">
        <w:rPr>
          <w:rtl w:val="0"/>
        </w:rPr>
      </w:r>
    </w:p>
    <w:p w:rsidR="00000000" w:rsidDel="00000000" w:rsidP="00000000" w:rsidRDefault="00000000" w:rsidRPr="00000000" w14:paraId="000000B0">
      <w:pPr>
        <w:spacing w:after="160" w:before="80" w:lineRule="auto"/>
        <w:jc w:val="both"/>
        <w:rPr/>
      </w:pPr>
      <w:r w:rsidDel="00000000" w:rsidR="00000000" w:rsidRPr="00000000">
        <w:rPr>
          <w:sz w:val="24"/>
          <w:szCs w:val="24"/>
          <w:rtl w:val="0"/>
        </w:rPr>
        <w:t xml:space="preserve">El EIGE (2024) coloca a España en la posición 15 de los 27 Estados miembro en el índice de igualdad de género en el ámbito digital, con una puntuación de 54,3 sobre 100 (siendo 100 la igualdad perfecta). La distancia con los países nórdicos —que promedian 72,4— ilustra el margen de mejora existente y la correlación entre igualdad digital y otros indicadores de bienestar y productividad económica.</w:t>
      </w:r>
      <w:r w:rsidDel="00000000" w:rsidR="00000000" w:rsidRPr="00000000">
        <w:rPr>
          <w:rtl w:val="0"/>
        </w:rPr>
      </w:r>
    </w:p>
    <w:p w:rsidR="00000000" w:rsidDel="00000000" w:rsidP="00000000" w:rsidRDefault="00000000" w:rsidRPr="00000000" w14:paraId="000000B1">
      <w:pPr>
        <w:spacing w:after="120" w:before="240" w:lineRule="auto"/>
        <w:rPr/>
      </w:pPr>
      <w:r w:rsidDel="00000000" w:rsidR="00000000" w:rsidRPr="00000000">
        <w:rPr>
          <w:b w:val="1"/>
          <w:bCs w:val="1"/>
          <w:sz w:val="22"/>
          <w:szCs w:val="22"/>
          <w:rtl w:val="0"/>
        </w:rPr>
        <w:t xml:space="preserve">Tabla 9.1. Brecha digital por género, edad y nivel de estudios en España (2024)</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200"/>
        <w:gridCol w:w="1200"/>
        <w:gridCol w:w="1226"/>
        <w:gridCol w:w="1000"/>
        <w:tblGridChange w:id="0">
          <w:tblGrid>
            <w:gridCol w:w="2000"/>
            <w:gridCol w:w="1200"/>
            <w:gridCol w:w="1200"/>
            <w:gridCol w:w="1200"/>
            <w:gridCol w:w="1200"/>
            <w:gridCol w:w="1226"/>
            <w:gridCol w:w="1000"/>
          </w:tblGrid>
        </w:tblGridChange>
      </w:tblGrid>
      <w:tr>
        <w:trPr>
          <w:cantSplit w:val="0"/>
          <w:tblHeader w:val="0"/>
        </w:trPr>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1"/>
                <w:bCs w:val="1"/>
                <w:color w:val="ffffff"/>
                <w:sz w:val="20"/>
                <w:szCs w:val="20"/>
                <w:rtl w:val="0"/>
              </w:rPr>
              <w:t xml:space="preserve">Perfil</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b w:val="1"/>
                <w:bCs w:val="1"/>
                <w:color w:val="ffffff"/>
                <w:sz w:val="20"/>
                <w:szCs w:val="20"/>
                <w:rtl w:val="0"/>
              </w:rPr>
              <w:t xml:space="preserve">Usa internet</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b w:val="1"/>
                <w:bCs w:val="1"/>
                <w:color w:val="ffffff"/>
                <w:sz w:val="20"/>
                <w:szCs w:val="20"/>
                <w:rtl w:val="0"/>
              </w:rPr>
              <w:t xml:space="preserve">Tiene smartphone</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b w:val="1"/>
                <w:bCs w:val="1"/>
                <w:color w:val="ffffff"/>
                <w:sz w:val="20"/>
                <w:szCs w:val="20"/>
                <w:rtl w:val="0"/>
              </w:rPr>
              <w:t xml:space="preserve">Competencias digitales básicas</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1"/>
                <w:bCs w:val="1"/>
                <w:color w:val="ffffff"/>
                <w:sz w:val="20"/>
                <w:szCs w:val="20"/>
                <w:rtl w:val="0"/>
              </w:rPr>
              <w:t xml:space="preserve">Usa formación online</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1"/>
                <w:bCs w:val="1"/>
                <w:color w:val="ffffff"/>
                <w:sz w:val="20"/>
                <w:szCs w:val="20"/>
                <w:rtl w:val="0"/>
              </w:rPr>
              <w:t xml:space="preserve">Usa banca online</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color w:val="ffffff"/>
                <w:sz w:val="20"/>
                <w:szCs w:val="20"/>
                <w:rtl w:val="0"/>
              </w:rPr>
              <w:t xml:space="preserve">Usa cita médica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0"/>
                <w:bCs w:val="0"/>
                <w:color w:val="000000"/>
                <w:sz w:val="20"/>
                <w:szCs w:val="20"/>
                <w:rtl w:val="0"/>
              </w:rPr>
              <w:t xml:space="preserve">Hombre 16-34, urbano, est. superiores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0"/>
                <w:bCs w:val="0"/>
                <w:color w:val="000000"/>
                <w:sz w:val="20"/>
                <w:szCs w:val="20"/>
                <w:rtl w:val="0"/>
              </w:rPr>
              <w:t xml:space="preserve">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0"/>
                <w:bCs w:val="0"/>
                <w:color w:val="000000"/>
                <w:sz w:val="20"/>
                <w:szCs w:val="20"/>
                <w:rtl w:val="0"/>
              </w:rPr>
              <w:t xml:space="preserve">98,7%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0"/>
                <w:bCs w:val="0"/>
                <w:color w:val="000000"/>
                <w:sz w:val="20"/>
                <w:szCs w:val="20"/>
                <w:rtl w:val="0"/>
              </w:rPr>
              <w:t xml:space="preserve">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0"/>
                <w:bCs w:val="0"/>
                <w:color w:val="000000"/>
                <w:sz w:val="20"/>
                <w:szCs w:val="20"/>
                <w:rtl w:val="0"/>
              </w:rPr>
              <w:t xml:space="preserve">68,3%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0"/>
                <w:bCs w:val="0"/>
                <w:color w:val="000000"/>
                <w:sz w:val="20"/>
                <w:szCs w:val="20"/>
                <w:rtl w:val="0"/>
              </w:rPr>
              <w:t xml:space="preserve">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0"/>
                <w:bCs w:val="0"/>
                <w:color w:val="000000"/>
                <w:sz w:val="20"/>
                <w:szCs w:val="20"/>
                <w:rtl w:val="0"/>
              </w:rPr>
              <w:t xml:space="preserve">72,1%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0"/>
                <w:bCs w:val="0"/>
                <w:color w:val="000000"/>
                <w:sz w:val="20"/>
                <w:szCs w:val="20"/>
                <w:rtl w:val="0"/>
              </w:rPr>
              <w:t xml:space="preserve">Mujer 16-34, urbana, est. superiores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0"/>
                <w:bCs w:val="0"/>
                <w:color w:val="000000"/>
                <w:sz w:val="20"/>
                <w:szCs w:val="20"/>
                <w:rtl w:val="0"/>
              </w:rPr>
              <w:t xml:space="preserve">98,9%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0"/>
                <w:bCs w:val="0"/>
                <w:color w:val="000000"/>
                <w:sz w:val="20"/>
                <w:szCs w:val="20"/>
                <w:rtl w:val="0"/>
              </w:rPr>
              <w:t xml:space="preserve">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0"/>
                <w:bCs w:val="0"/>
                <w:color w:val="000000"/>
                <w:sz w:val="20"/>
                <w:szCs w:val="20"/>
                <w:rtl w:val="0"/>
              </w:rPr>
              <w:t xml:space="preserve">86,7%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0"/>
                <w:bCs w:val="0"/>
                <w:color w:val="000000"/>
                <w:sz w:val="20"/>
                <w:szCs w:val="20"/>
                <w:rtl w:val="0"/>
              </w:rPr>
              <w:t xml:space="preserve">63,4%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0"/>
                <w:bCs w:val="0"/>
                <w:color w:val="000000"/>
                <w:sz w:val="20"/>
                <w:szCs w:val="20"/>
                <w:rtl w:val="0"/>
              </w:rPr>
              <w:t xml:space="preserve">84,6%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b w:val="0"/>
                <w:bCs w:val="0"/>
                <w:color w:val="000000"/>
                <w:sz w:val="20"/>
                <w:szCs w:val="20"/>
                <w:rtl w:val="0"/>
              </w:rPr>
              <w:t xml:space="preserve">74,3%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b w:val="0"/>
                <w:bCs w:val="0"/>
                <w:color w:val="000000"/>
                <w:sz w:val="20"/>
                <w:szCs w:val="20"/>
                <w:rtl w:val="0"/>
              </w:rPr>
              <w:t xml:space="preserve">Hombre 35-64, urbano, est. secundarios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0"/>
                <w:bCs w:val="0"/>
                <w:color w:val="000000"/>
                <w:sz w:val="20"/>
                <w:szCs w:val="20"/>
                <w:rtl w:val="0"/>
              </w:rPr>
              <w:t xml:space="preserve">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0"/>
                <w:bCs w:val="0"/>
                <w:color w:val="000000"/>
                <w:sz w:val="20"/>
                <w:szCs w:val="20"/>
                <w:rtl w:val="0"/>
              </w:rPr>
              <w:t xml:space="preserve">91,2%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0"/>
                <w:bCs w:val="0"/>
                <w:color w:val="000000"/>
                <w:sz w:val="20"/>
                <w:szCs w:val="20"/>
                <w:rtl w:val="0"/>
              </w:rPr>
              <w:t xml:space="preserve">67,8%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0"/>
                <w:bCs w:val="0"/>
                <w:color w:val="000000"/>
                <w:sz w:val="20"/>
                <w:szCs w:val="20"/>
                <w:rtl w:val="0"/>
              </w:rPr>
              <w:t xml:space="preserve">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0"/>
                <w:bCs w:val="0"/>
                <w:color w:val="000000"/>
                <w:sz w:val="20"/>
                <w:szCs w:val="20"/>
                <w:rtl w:val="0"/>
              </w:rPr>
              <w:t xml:space="preserve">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b w:val="0"/>
                <w:bCs w:val="0"/>
                <w:color w:val="000000"/>
                <w:sz w:val="20"/>
                <w:szCs w:val="20"/>
                <w:rtl w:val="0"/>
              </w:rPr>
              <w:t xml:space="preserve">48,9%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0"/>
                <w:bCs w:val="0"/>
                <w:color w:val="000000"/>
                <w:sz w:val="20"/>
                <w:szCs w:val="20"/>
                <w:rtl w:val="0"/>
              </w:rPr>
              <w:t xml:space="preserve">Mujer 35-64, urbana, est. secundarios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b w:val="0"/>
                <w:bCs w:val="0"/>
                <w:color w:val="000000"/>
                <w:sz w:val="20"/>
                <w:szCs w:val="20"/>
                <w:rtl w:val="0"/>
              </w:rPr>
              <w:t xml:space="preserve">85,7%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b w:val="0"/>
                <w:bCs w:val="0"/>
                <w:color w:val="000000"/>
                <w:sz w:val="20"/>
                <w:szCs w:val="20"/>
                <w:rtl w:val="0"/>
              </w:rPr>
              <w:t xml:space="preserve">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0"/>
                <w:bCs w:val="0"/>
                <w:color w:val="000000"/>
                <w:sz w:val="20"/>
                <w:szCs w:val="20"/>
                <w:rtl w:val="0"/>
              </w:rPr>
              <w:t xml:space="preserve">58,3%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0"/>
                <w:bCs w:val="0"/>
                <w:color w:val="000000"/>
                <w:sz w:val="20"/>
                <w:szCs w:val="20"/>
                <w:rtl w:val="0"/>
              </w:rPr>
              <w:t xml:space="preserve">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0"/>
                <w:bCs w:val="0"/>
                <w:color w:val="000000"/>
                <w:sz w:val="20"/>
                <w:szCs w:val="20"/>
                <w:rtl w:val="0"/>
              </w:rPr>
              <w:t xml:space="preserve">64,2%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b w:val="0"/>
                <w:bCs w:val="0"/>
                <w:color w:val="000000"/>
                <w:sz w:val="20"/>
                <w:szCs w:val="20"/>
                <w:rtl w:val="0"/>
              </w:rPr>
              <w:t xml:space="preserve">52,1%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0"/>
                <w:bCs w:val="0"/>
                <w:color w:val="000000"/>
                <w:sz w:val="20"/>
                <w:szCs w:val="20"/>
                <w:rtl w:val="0"/>
              </w:rPr>
              <w:t xml:space="preserve">Hombre 65-74, rural, sin est. superiores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b w:val="0"/>
                <w:bCs w:val="0"/>
                <w:color w:val="000000"/>
                <w:sz w:val="20"/>
                <w:szCs w:val="20"/>
                <w:rtl w:val="0"/>
              </w:rPr>
              <w:t xml:space="preserve">62,4%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b w:val="0"/>
                <w:bCs w:val="0"/>
                <w:color w:val="000000"/>
                <w:sz w:val="20"/>
                <w:szCs w:val="20"/>
                <w:rtl w:val="0"/>
              </w:rPr>
              <w:t xml:space="preserve">64,7%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b w:val="0"/>
                <w:bCs w:val="0"/>
                <w:color w:val="000000"/>
                <w:sz w:val="20"/>
                <w:szCs w:val="20"/>
                <w:rtl w:val="0"/>
              </w:rPr>
              <w:t xml:space="preserve">32,1%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0"/>
                <w:bCs w:val="0"/>
                <w:color w:val="000000"/>
                <w:sz w:val="20"/>
                <w:szCs w:val="20"/>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b w:val="0"/>
                <w:bCs w:val="0"/>
                <w:color w:val="000000"/>
                <w:sz w:val="20"/>
                <w:szCs w:val="20"/>
                <w:rtl w:val="0"/>
              </w:rPr>
              <w:t xml:space="preserve">38,7%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0"/>
                <w:bCs w:val="0"/>
                <w:color w:val="000000"/>
                <w:sz w:val="20"/>
                <w:szCs w:val="20"/>
                <w:rtl w:val="0"/>
              </w:rPr>
              <w:t xml:space="preserve">28,3%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0"/>
                <w:bCs w:val="0"/>
                <w:color w:val="000000"/>
                <w:sz w:val="20"/>
                <w:szCs w:val="20"/>
                <w:rtl w:val="0"/>
              </w:rPr>
              <w:t xml:space="preserve">Mujer 65-74, rural, sin est. superiores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0"/>
                <w:bCs w:val="0"/>
                <w:color w:val="000000"/>
                <w:sz w:val="20"/>
                <w:szCs w:val="20"/>
                <w:rtl w:val="0"/>
              </w:rPr>
              <w:t xml:space="preserve">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0"/>
                <w:bCs w:val="0"/>
                <w:color w:val="000000"/>
                <w:sz w:val="20"/>
                <w:szCs w:val="20"/>
                <w:rtl w:val="0"/>
              </w:rPr>
              <w:t xml:space="preserve">48,2%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0"/>
                <w:bCs w:val="0"/>
                <w:color w:val="000000"/>
                <w:sz w:val="20"/>
                <w:szCs w:val="20"/>
                <w:rtl w:val="0"/>
              </w:rPr>
              <w:t xml:space="preserve">19,7%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b w:val="0"/>
                <w:bCs w:val="0"/>
                <w:color w:val="000000"/>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0"/>
                <w:bCs w:val="0"/>
                <w:color w:val="000000"/>
                <w:sz w:val="20"/>
                <w:szCs w:val="20"/>
                <w:rtl w:val="0"/>
              </w:rPr>
              <w:t xml:space="preserve">21,4%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0"/>
                <w:bCs w:val="0"/>
                <w:color w:val="000000"/>
                <w:sz w:val="20"/>
                <w:szCs w:val="20"/>
                <w:rtl w:val="0"/>
              </w:rPr>
              <w:t xml:space="preserve">18,9%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0"/>
                <w:bCs w:val="0"/>
                <w:color w:val="000000"/>
                <w:sz w:val="20"/>
                <w:szCs w:val="20"/>
                <w:rtl w:val="0"/>
              </w:rPr>
              <w:t xml:space="preserve">Mujer 75+, rural, sin estudios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0"/>
                <w:bCs w:val="0"/>
                <w:color w:val="000000"/>
                <w:sz w:val="20"/>
                <w:szCs w:val="20"/>
                <w:rtl w:val="0"/>
              </w:rPr>
              <w:t xml:space="preserve">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b w:val="0"/>
                <w:bCs w:val="0"/>
                <w:color w:val="000000"/>
                <w:sz w:val="20"/>
                <w:szCs w:val="20"/>
                <w:rtl w:val="0"/>
              </w:rPr>
              <w:t xml:space="preserve">22,7%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b w:val="0"/>
                <w:bCs w:val="0"/>
                <w:color w:val="000000"/>
                <w:sz w:val="20"/>
                <w:szCs w:val="20"/>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b w:val="0"/>
                <w:bCs w:val="0"/>
                <w:color w:val="000000"/>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b w:val="0"/>
                <w:bCs w:val="0"/>
                <w:color w:val="000000"/>
                <w:sz w:val="20"/>
                <w:szCs w:val="20"/>
                <w:rtl w:val="0"/>
              </w:rPr>
              <w:t xml:space="preserve">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b w:val="0"/>
                <w:bCs w:val="0"/>
                <w:color w:val="000000"/>
                <w:sz w:val="20"/>
                <w:szCs w:val="20"/>
                <w:rtl w:val="0"/>
              </w:rPr>
              <w:t xml:space="preserve">6,4%</w:t>
            </w:r>
            <w:r w:rsidDel="00000000" w:rsidR="00000000" w:rsidRPr="00000000">
              <w:rPr>
                <w:rtl w:val="0"/>
              </w:rPr>
            </w:r>
          </w:p>
        </w:tc>
      </w:tr>
    </w:tbl>
    <w:p w:rsidR="00000000" w:rsidDel="00000000" w:rsidP="00000000" w:rsidRDefault="00000000" w:rsidRPr="00000000" w14:paraId="000000EA">
      <w:pPr>
        <w:spacing w:after="240" w:before="80" w:lineRule="auto"/>
        <w:rPr/>
      </w:pPr>
      <w:r w:rsidDel="00000000" w:rsidR="00000000" w:rsidRPr="00000000">
        <w:rPr>
          <w:i w:val="1"/>
          <w:iCs w:val="1"/>
          <w:sz w:val="20"/>
          <w:szCs w:val="20"/>
          <w:rtl w:val="0"/>
        </w:rPr>
        <w:t xml:space="preserve">Fuente: INE, Encuesta TIC Hogares 2024; ONTSI (2024); EIGE (2024). Elaboración propia.</w:t>
      </w: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9.3. Infancia y adolescencia: socialización digital diferenciada</w:t>
      </w:r>
    </w:p>
    <w:p w:rsidR="00000000" w:rsidDel="00000000" w:rsidP="00000000" w:rsidRDefault="00000000" w:rsidRPr="00000000" w14:paraId="000000EC">
      <w:pPr>
        <w:spacing w:after="160" w:before="80" w:lineRule="auto"/>
        <w:jc w:val="both"/>
        <w:rPr/>
      </w:pPr>
      <w:r w:rsidDel="00000000" w:rsidR="00000000" w:rsidRPr="00000000">
        <w:rPr>
          <w:sz w:val="24"/>
          <w:szCs w:val="24"/>
          <w:rtl w:val="0"/>
        </w:rPr>
        <w:t xml:space="preserve">La brecha digital de género no comienza en la edad adulta. Comienza en la cuna —metafóricamente— y se consolida en la adolescencia. Desde edades muy tempranas, los niños y las niñas reciben mensajes diferenciados sobre su relación con la tecnología. Los juguetes tecnológicos —robots, kits de programación, consolas— están mayoritariamente dirigidos a niños. Los contenidos digitales de entretenimiento reproducen estereotipos de género que asocian la tecnología con la masculinidad. Las familias, con frecuencia inconscientemente, dedican más tiempo a actividades tecnológicas con los hijos que con las hijas.</w:t>
      </w:r>
      <w:r w:rsidDel="00000000" w:rsidR="00000000" w:rsidRPr="00000000">
        <w:rPr>
          <w:rtl w:val="0"/>
        </w:rPr>
      </w:r>
    </w:p>
    <w:p w:rsidR="00000000" w:rsidDel="00000000" w:rsidP="00000000" w:rsidRDefault="00000000" w:rsidRPr="00000000" w14:paraId="000000ED">
      <w:pPr>
        <w:spacing w:after="160" w:before="80" w:lineRule="auto"/>
        <w:jc w:val="both"/>
        <w:rPr/>
      </w:pPr>
      <w:r w:rsidDel="00000000" w:rsidR="00000000" w:rsidRPr="00000000">
        <w:rPr>
          <w:sz w:val="24"/>
          <w:szCs w:val="24"/>
          <w:rtl w:val="0"/>
        </w:rPr>
        <w:t xml:space="preserve">La UNESCO (2023), en su Global Education Monitoring Report sobre tecnología educativa, documentó que en los países de renta media y alta, las diferencias de género en competencias digitales básicas son pequeñas entre los 10 y los 12 años, pero se amplían significativamente en la adolescencia. Este resultado sugiere que hay una ventana crítica de intervención: los programas de promoción de las STEM para niñas y de alfabetización digital igualitaria deben comenzar en la educación primaria, antes de que los roles de género se consoliden.</w:t>
      </w:r>
      <w:r w:rsidDel="00000000" w:rsidR="00000000" w:rsidRPr="00000000">
        <w:rPr>
          <w:rtl w:val="0"/>
        </w:rPr>
      </w:r>
    </w:p>
    <w:p w:rsidR="00000000" w:rsidDel="00000000" w:rsidP="00000000" w:rsidRDefault="00000000" w:rsidRPr="00000000" w14:paraId="000000EE">
      <w:pPr>
        <w:spacing w:after="160" w:before="80" w:lineRule="auto"/>
        <w:jc w:val="both"/>
        <w:rPr/>
      </w:pPr>
      <w:r w:rsidDel="00000000" w:rsidR="00000000" w:rsidRPr="00000000">
        <w:rPr>
          <w:sz w:val="24"/>
          <w:szCs w:val="24"/>
          <w:rtl w:val="0"/>
        </w:rPr>
        <w:t xml:space="preserve">Los datos del ONTSI (2024) sobre menores y tecnología muestran que los chicos de 10-15 años dedican 37 minutos diarios más que las chicas a actividades digitales relacionadas con la programación, el diseño o la creación de contenido técnico. Esta diferencia, aparentemente pequeña, se traduce en cientos de horas de práctica informal a lo largo de la infancia y la adolescencia que construyen una ventaja de competencia que el sistema educativo formal no compensa.</w:t>
      </w:r>
      <w:r w:rsidDel="00000000" w:rsidR="00000000" w:rsidRPr="00000000">
        <w:rPr>
          <w:rtl w:val="0"/>
        </w:rPr>
      </w:r>
    </w:p>
    <w:p w:rsidR="00000000" w:rsidDel="00000000" w:rsidP="00000000" w:rsidRDefault="00000000" w:rsidRPr="00000000" w14:paraId="000000EF">
      <w:pPr>
        <w:spacing w:after="160" w:before="80" w:lineRule="auto"/>
        <w:jc w:val="both"/>
        <w:rPr/>
      </w:pPr>
      <w:r w:rsidDel="00000000" w:rsidR="00000000" w:rsidRPr="00000000">
        <w:rPr>
          <w:sz w:val="24"/>
          <w:szCs w:val="24"/>
          <w:rtl w:val="0"/>
        </w:rPr>
        <w:t xml:space="preserve">Los efectos sobre la trayectoria educativa son significativos y bien documentados. El porcentaje de alumnas que eligen bachillerato de ciencias y tecnología es del 42,3%, frente al 57,7% de los alumnos. En los grados universitarios de informática y telecomunicaciones, la presencia femenina es del 14,2% y del 21,7% respectivamente (INE, 2024). Estas diferencias no reflejan diferencias de capacidad —las notas de acceso de las alumnas de ingeniería son en promedio superiores a las de los alumnos—; reflejan diferencias en el sistema de preferencias construido socialmente desde la infancia.</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9.4. Juventud y transición al empleo: la doble brecha</w:t>
      </w:r>
    </w:p>
    <w:p w:rsidR="00000000" w:rsidDel="00000000" w:rsidP="00000000" w:rsidRDefault="00000000" w:rsidRPr="00000000" w14:paraId="000000F1">
      <w:pPr>
        <w:spacing w:after="160" w:before="80" w:lineRule="auto"/>
        <w:jc w:val="both"/>
        <w:rPr/>
      </w:pPr>
      <w:r w:rsidDel="00000000" w:rsidR="00000000" w:rsidRPr="00000000">
        <w:rPr>
          <w:sz w:val="24"/>
          <w:szCs w:val="24"/>
          <w:rtl w:val="0"/>
        </w:rPr>
        <w:t xml:space="preserve">La transición de la educación al empleo es el momento en que las desigualdades digitales de género producen sus consecuencias más directas sobre la autonomía económica y la independencia de las jóvenes. El mercado de trabajo está digitalizándose a una velocidad que hace que la competencia digital sea hoy una condición básica de empleabilidad en prácticamente todos los sectores.</w:t>
      </w:r>
      <w:r w:rsidDel="00000000" w:rsidR="00000000" w:rsidRPr="00000000">
        <w:rPr>
          <w:rtl w:val="0"/>
        </w:rPr>
      </w:r>
    </w:p>
    <w:p w:rsidR="00000000" w:rsidDel="00000000" w:rsidP="00000000" w:rsidRDefault="00000000" w:rsidRPr="00000000" w14:paraId="000000F2">
      <w:pPr>
        <w:spacing w:after="160" w:before="80" w:lineRule="auto"/>
        <w:jc w:val="both"/>
        <w:rPr/>
      </w:pPr>
      <w:r w:rsidDel="00000000" w:rsidR="00000000" w:rsidRPr="00000000">
        <w:rPr>
          <w:sz w:val="24"/>
          <w:szCs w:val="24"/>
          <w:rtl w:val="0"/>
        </w:rPr>
        <w:t xml:space="preserve">Los datos del DiSTO Project (De Marco &amp; Sorando, 2025) sobre jóvenes españoles de 18-29 años en transición al empleo muestran que la brecha digital de género en esta cohorte se concentra en las jóvenes con menor capital cultural —hijas de padres sin estudios superiores— y en las de origen migratorio. Una joven de 22 años, hija de padres con estudios primarios, de origen latinoamericano, que vive en un municipio de menos de 10.000 habitantes, enfrenta una acumulación de desventajas digitales que ningún indicador de «uso de internet» por sí solo captura.</w:t>
      </w:r>
      <w:r w:rsidDel="00000000" w:rsidR="00000000" w:rsidRPr="00000000">
        <w:rPr>
          <w:rtl w:val="0"/>
        </w:rPr>
      </w:r>
    </w:p>
    <w:p w:rsidR="00000000" w:rsidDel="00000000" w:rsidP="00000000" w:rsidRDefault="00000000" w:rsidRPr="00000000" w14:paraId="000000F3">
      <w:pPr>
        <w:spacing w:after="160" w:before="80" w:lineRule="auto"/>
        <w:jc w:val="both"/>
        <w:rPr/>
      </w:pPr>
      <w:r w:rsidDel="00000000" w:rsidR="00000000" w:rsidRPr="00000000">
        <w:rPr>
          <w:sz w:val="24"/>
          <w:szCs w:val="24"/>
          <w:rtl w:val="0"/>
        </w:rPr>
        <w:t xml:space="preserve">La Fundación Telefónica (2025) estima que el coste de la brecha digital de género en términos de menor empleabilidad y menor productividad laboral asciende a entre 3.200 y 4.800 millones de euros anuales en España, considerando la diferencia en tasas de empleo entre hombres y mujeres con niveles equivalentes de educación formal pero distintos niveles de competencia digital. Esta cifra —que no incluye los costes de oportunidad asociados a las vocaciones STEM no desarrolladas— supera ampliamente el coste estimado de un programa ambicioso de formación digital con perspectiva de género.</w:t>
      </w:r>
      <w:r w:rsidDel="00000000" w:rsidR="00000000" w:rsidRPr="00000000">
        <w:rPr>
          <w:rtl w:val="0"/>
        </w:rPr>
      </w:r>
    </w:p>
    <w:p w:rsidR="00000000" w:rsidDel="00000000" w:rsidP="00000000" w:rsidRDefault="00000000" w:rsidRPr="00000000" w14:paraId="000000F4">
      <w:pPr>
        <w:spacing w:after="160" w:before="80" w:lineRule="auto"/>
        <w:jc w:val="both"/>
        <w:rPr/>
      </w:pPr>
      <w:r w:rsidDel="00000000" w:rsidR="00000000" w:rsidRPr="00000000">
        <w:rPr>
          <w:sz w:val="24"/>
          <w:szCs w:val="24"/>
          <w:rtl w:val="0"/>
        </w:rPr>
        <w:t xml:space="preserve">La «doble brecha» de la juventud femenina tiene dos dimensiones: la brecha de competencias técnicas —las jóvenes tienen en promedio menor dominio de herramientas de productividad, programación y análisis de datos que los jóvenes— y la brecha de uso profesional —incluso cuando tienen las competencias, las usan con menos frecuencia en contextos profesionales y las visibilizan menos en procesos de selección—. Esta segunda dimensión, documentada por Van Deursen y Helsper (2015) en su análisis del tercer nivel de la brecha digital, es especialmente relevante para el diseño de políticas: no basta con garantizar las competencias; hay que garantizar también el contexto en que esas competencias se pueden ejercer y reconocer.</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9.5. Adultez: conciliación, cuidados y teletrabajo</w:t>
      </w:r>
    </w:p>
    <w:p w:rsidR="00000000" w:rsidDel="00000000" w:rsidP="00000000" w:rsidRDefault="00000000" w:rsidRPr="00000000" w14:paraId="000000F6">
      <w:pPr>
        <w:spacing w:after="160" w:before="80" w:lineRule="auto"/>
        <w:jc w:val="both"/>
        <w:rPr/>
      </w:pPr>
      <w:r w:rsidDel="00000000" w:rsidR="00000000" w:rsidRPr="00000000">
        <w:rPr>
          <w:sz w:val="24"/>
          <w:szCs w:val="24"/>
          <w:rtl w:val="0"/>
        </w:rPr>
        <w:t xml:space="preserve">La digitalización del trabajo —acelerada por la pandemia de 2020— ha producido efectos asimétricos por género que los datos del INE (2024) comienzan a revelar con claridad. El teletrabajo, que podría haber sido una herramienta de conciliación, ha funcionado con frecuencia como una extensión de la jornada laboral que se superpone a las responsabilidades de cuidado no remunerado —que siguen recayendo mayoritariamente sobre las mujeres— sin reducirlas.</w:t>
      </w:r>
      <w:r w:rsidDel="00000000" w:rsidR="00000000" w:rsidRPr="00000000">
        <w:rPr>
          <w:rtl w:val="0"/>
        </w:rPr>
      </w:r>
    </w:p>
    <w:p w:rsidR="00000000" w:rsidDel="00000000" w:rsidP="00000000" w:rsidRDefault="00000000" w:rsidRPr="00000000" w14:paraId="000000F7">
      <w:pPr>
        <w:spacing w:after="160" w:before="80" w:lineRule="auto"/>
        <w:jc w:val="both"/>
        <w:rPr/>
      </w:pPr>
      <w:r w:rsidDel="00000000" w:rsidR="00000000" w:rsidRPr="00000000">
        <w:rPr>
          <w:sz w:val="24"/>
          <w:szCs w:val="24"/>
          <w:rtl w:val="0"/>
        </w:rPr>
        <w:t xml:space="preserve">Los datos del INE (2024) muestran que las mujeres que teletrabajan dedican en promedio 2,3 horas más semanales a actividades domésticas y de cuidado que los hombres que teletrabajan en las mismas condiciones laborales. Esta diferencia implica que el teletrabajo femenino se produce con mayor frecuencia en condiciones de interrupción y fragmentación que reducen su eficacia y aumentan el estrés. La «doble presencia» digital —el fenómeno por el que las mujeres están simultáneamente en el espacio digital del trabajo y en el espacio físico del hogar— produce una calidad de experiencia digital inferior que tiene consecuencias sobre la productividad, el desarrollo profesional y el bienestar.</w:t>
      </w:r>
      <w:r w:rsidDel="00000000" w:rsidR="00000000" w:rsidRPr="00000000">
        <w:rPr>
          <w:rtl w:val="0"/>
        </w:rPr>
      </w:r>
    </w:p>
    <w:p w:rsidR="00000000" w:rsidDel="00000000" w:rsidP="00000000" w:rsidRDefault="00000000" w:rsidRPr="00000000" w14:paraId="000000F8">
      <w:pPr>
        <w:spacing w:after="160" w:before="80" w:lineRule="auto"/>
        <w:jc w:val="both"/>
        <w:rPr/>
      </w:pPr>
      <w:r w:rsidDel="00000000" w:rsidR="00000000" w:rsidRPr="00000000">
        <w:rPr>
          <w:sz w:val="24"/>
          <w:szCs w:val="24"/>
          <w:rtl w:val="0"/>
        </w:rPr>
        <w:t xml:space="preserve">Helsper (2021), en The Digital Disconnect, documentó que la brecha de género en el tipo de actividades online en la adultez es especialmente pronunciada en el eje formación-ocio: las mujeres adultas dedican más tiempo de internet a actividades relacionadas con la gestión familiar —citas médicas, gestión escolar, compras, comunicación familiar— y menos tiempo a actividades de formación o desarrollo profesional. Esta diferencia no refleja necesariamente preferencias distintas; refleja restricciones distintas derivadas de la división sexual del tiempo.</w:t>
      </w:r>
      <w:r w:rsidDel="00000000" w:rsidR="00000000" w:rsidRPr="00000000">
        <w:rPr>
          <w:rtl w:val="0"/>
        </w:rPr>
      </w:r>
    </w:p>
    <w:p w:rsidR="00000000" w:rsidDel="00000000" w:rsidP="00000000" w:rsidRDefault="00000000" w:rsidRPr="00000000" w14:paraId="000000F9">
      <w:pPr>
        <w:spacing w:after="160" w:before="80" w:lineRule="auto"/>
        <w:jc w:val="both"/>
        <w:rPr/>
      </w:pPr>
      <w:r w:rsidDel="00000000" w:rsidR="00000000" w:rsidRPr="00000000">
        <w:rPr>
          <w:sz w:val="24"/>
          <w:szCs w:val="24"/>
          <w:rtl w:val="0"/>
        </w:rPr>
        <w:t xml:space="preserve">El resultado más inquietante de este análisis es el efecto acumulativo: una mujer que en la juventud tuvo menos exposición a tecnología que sus pares masculinos, que en la transición al empleo tuvo menos oportunidades de formación digital, y que en la adultez dedica su tiempo digital principalmente a actividades de gestión familiar, llega a la madurez y a la vejez con un déficit acumulado de competencias digitales que la hace especialmente vulnerable a la exclusión cuando los servicios públicos y privados se digitalizan de forma masiva.</w:t>
      </w: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9.6. Personas mayores: género y envejecimiento digital</w:t>
      </w:r>
    </w:p>
    <w:p w:rsidR="00000000" w:rsidDel="00000000" w:rsidP="00000000" w:rsidRDefault="00000000" w:rsidRPr="00000000" w14:paraId="000000FB">
      <w:pPr>
        <w:spacing w:after="160" w:before="80" w:lineRule="auto"/>
        <w:jc w:val="both"/>
        <w:rPr/>
      </w:pPr>
      <w:r w:rsidDel="00000000" w:rsidR="00000000" w:rsidRPr="00000000">
        <w:rPr>
          <w:sz w:val="24"/>
          <w:szCs w:val="24"/>
          <w:rtl w:val="0"/>
        </w:rPr>
        <w:t xml:space="preserve">La intersección de género y edad produce la forma más extrema de exclusión digital. Las mujeres mayores —especialmente las de más de 75 años, las que viven solas, las que residen en zonas rurales y las que tienen bajo nivel educativo— son el grupo con mayor exclusión digital acumulada de España, y probablemente de toda Europa. Los datos de la Tabla 9.1 lo ilustran con claridad: una mujer de más de 75 años, rural y sin estudios superiores, tiene una tasa de uso de internet del 18,3%, frente al 99,2% de un hombre joven urbano con estudios superiores. Esta diferencia de más de 80 puntos porcentuales en una misma ciudadanía, en una misma democracia, en un mismo sistema de bienestar, es difícilmente compatible con el principio de igualdad.</w:t>
      </w:r>
      <w:r w:rsidDel="00000000" w:rsidR="00000000" w:rsidRPr="00000000">
        <w:rPr>
          <w:rtl w:val="0"/>
        </w:rPr>
      </w:r>
    </w:p>
    <w:p w:rsidR="00000000" w:rsidDel="00000000" w:rsidP="00000000" w:rsidRDefault="00000000" w:rsidRPr="00000000" w14:paraId="000000FC">
      <w:pPr>
        <w:spacing w:after="160" w:before="80" w:lineRule="auto"/>
        <w:jc w:val="both"/>
        <w:rPr/>
      </w:pPr>
      <w:r w:rsidDel="00000000" w:rsidR="00000000" w:rsidRPr="00000000">
        <w:rPr>
          <w:sz w:val="24"/>
          <w:szCs w:val="24"/>
          <w:rtl w:val="0"/>
        </w:rPr>
        <w:t xml:space="preserve">Lloyd y Williamson (2021), en su revisión de la literatura sobre prácticas informacionales de las personas mayores, documentaron que las mujeres mayores enfrentan barreras específicas que van más allá del nivel educativo: mayor ansiedad tecnológica, menor red de soporte para el aprendizaje digital —sus pares femeninos también tienen menos competencias digitales—, y mayor dependencia de intermediarios —habitualmente hijos o nietos— para acceder a los servicios digitales. Esta dependencia de intermediarios produce una experiencia digital heterónoma —no es tu competencia, es la de alguien que hace las cosas por ti— que no genera autonomía ni reduce la exclusión.</w:t>
      </w:r>
      <w:r w:rsidDel="00000000" w:rsidR="00000000" w:rsidRPr="00000000">
        <w:rPr>
          <w:rtl w:val="0"/>
        </w:rPr>
      </w:r>
    </w:p>
    <w:p w:rsidR="00000000" w:rsidDel="00000000" w:rsidP="00000000" w:rsidRDefault="00000000" w:rsidRPr="00000000" w14:paraId="000000FD">
      <w:pPr>
        <w:spacing w:after="160" w:before="80" w:lineRule="auto"/>
        <w:jc w:val="both"/>
        <w:rPr/>
      </w:pPr>
      <w:r w:rsidDel="00000000" w:rsidR="00000000" w:rsidRPr="00000000">
        <w:rPr>
          <w:sz w:val="24"/>
          <w:szCs w:val="24"/>
          <w:rtl w:val="0"/>
        </w:rPr>
        <w:t xml:space="preserve">Los estudios europeos sobre envejecimiento activo (EIGE, 2024; Friemel, 2021) documentan que la soledad no deseada —que afecta al 22,4% de las mujeres mayores de 75 años en España, frente al 14,1% de los hombres de la misma edad— tiene una relación bidireccional con la exclusión digital: la soledad dificulta el aprendizaje digital —no hay nadie que enseñe ni que acompañe— y la exclusión digital amplifica la soledad —no se puede usar WhatsApp con la familia, no se puede participar en grupos sociales online, no se puede acceder a los recursos culturales digitales. Este círculo vicioso requiere intervenciones que combinen el acompañamiento social con la formación digital, no programas de formación digital sin soporte social.</w:t>
      </w:r>
      <w:r w:rsidDel="00000000" w:rsidR="00000000" w:rsidRPr="00000000">
        <w:rPr>
          <w:rtl w:val="0"/>
        </w:rPr>
      </w:r>
    </w:p>
    <w:p w:rsidR="00000000" w:rsidDel="00000000" w:rsidP="00000000" w:rsidRDefault="00000000" w:rsidRPr="00000000" w14:paraId="000000FE">
      <w:pPr>
        <w:spacing w:after="160" w:before="80" w:lineRule="auto"/>
        <w:jc w:val="both"/>
        <w:rPr/>
      </w:pPr>
      <w:r w:rsidDel="00000000" w:rsidR="00000000" w:rsidRPr="00000000">
        <w:rPr>
          <w:sz w:val="24"/>
          <w:szCs w:val="24"/>
          <w:rtl w:val="0"/>
        </w:rPr>
        <w:t xml:space="preserve">La propuesta específica de este paper para las mujeres mayores es una extensión del programa nacional de formación digital para mayores, con cuatro características adicionales: (1) impartición por monitoras del mismo perfil de edad y género, que reduzcan la ansiedad tecnológica y aumenten la identificación; (2) contenidos centrados en los usos más relevantes para la vida cotidiana de las mujeres mayores —comunicación familiar, cita médica, gestión de pensiones, seguridad digital—; (3) formato de grupos pequeños, presenciales y de larga duración —no talleres de una tarde, sino programas de varias semanas—; y (4) coordinación con los servicios de atención a la soledad y a la salud mental para identificar a las mujeres con mayor riesgo de exclusión múltiple.</w:t>
      </w: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9.7. Interseccionalidad: cuando el género se cruza con otros ejes de desigualdad</w:t>
      </w:r>
    </w:p>
    <w:p w:rsidR="00000000" w:rsidDel="00000000" w:rsidP="00000000" w:rsidRDefault="00000000" w:rsidRPr="00000000" w14:paraId="00000100">
      <w:pPr>
        <w:spacing w:after="160" w:before="80" w:lineRule="auto"/>
        <w:jc w:val="both"/>
        <w:rPr/>
      </w:pPr>
      <w:r w:rsidDel="00000000" w:rsidR="00000000" w:rsidRPr="00000000">
        <w:rPr>
          <w:sz w:val="24"/>
          <w:szCs w:val="24"/>
          <w:rtl w:val="0"/>
        </w:rPr>
        <w:t xml:space="preserve">El concepto de interseccionalidad, acuñado por Kimberlé Crenshaw (1989) en su análisis pionero sobre la intersección de raza y género, es hoy una herramienta teórica fundamental para analizar la brecha digital. La intuición central de Crenshaw es que las desigualdades no se suman aritméticamenie: se multiplican, se transforman y producen formas de exclusión que no pueden capturarse analizando cada eje por separado.</w:t>
      </w:r>
      <w:r w:rsidDel="00000000" w:rsidR="00000000" w:rsidRPr="00000000">
        <w:rPr>
          <w:rtl w:val="0"/>
        </w:rPr>
      </w:r>
    </w:p>
    <w:p w:rsidR="00000000" w:rsidDel="00000000" w:rsidP="00000000" w:rsidRDefault="00000000" w:rsidRPr="00000000" w14:paraId="00000101">
      <w:pPr>
        <w:spacing w:after="160" w:before="80" w:lineRule="auto"/>
        <w:jc w:val="both"/>
        <w:rPr/>
      </w:pPr>
      <w:r w:rsidDel="00000000" w:rsidR="00000000" w:rsidRPr="00000000">
        <w:rPr>
          <w:sz w:val="24"/>
          <w:szCs w:val="24"/>
          <w:rtl w:val="0"/>
        </w:rPr>
        <w:t xml:space="preserve">Una mujer migrante, sin estudios, que vive en una zona rural, acumula múltiples desventajas que se potencian entre sí. No es simplemente «mujer + migrante + rural + sin estudios»: es una configuración específica de exclusión en la que cada dimensión amplifica las otras. Su situación de irregularidad administrativa puede impedir el acceso a programas de ayuda que requieren documentación. Su origen cultural puede producir barreras lingüísticas y de confianza institucional. Su ubicación rural limita el acceso a formación presencial. Y su género determina que sus responsabilidades de cuidado reduzcan el tiempo disponible para cualquier actividad formativa.</w:t>
      </w:r>
      <w:r w:rsidDel="00000000" w:rsidR="00000000" w:rsidRPr="00000000">
        <w:rPr>
          <w:rtl w:val="0"/>
        </w:rPr>
      </w:r>
    </w:p>
    <w:p w:rsidR="00000000" w:rsidDel="00000000" w:rsidP="00000000" w:rsidRDefault="00000000" w:rsidRPr="00000000" w14:paraId="00000102">
      <w:pPr>
        <w:spacing w:after="160" w:before="80" w:lineRule="auto"/>
        <w:jc w:val="both"/>
        <w:rPr/>
      </w:pPr>
      <w:r w:rsidDel="00000000" w:rsidR="00000000" w:rsidRPr="00000000">
        <w:rPr>
          <w:sz w:val="24"/>
          <w:szCs w:val="24"/>
          <w:rtl w:val="0"/>
        </w:rPr>
        <w:t xml:space="preserve">Robinson et al. (2020), en su análisis de las desigualdades digitales en la era de la IA, documentaron que los efectos de la interseccionalidad en la brecha digital son especialmente pronunciados en los grupos con tres o más marcadores de desventaja simultáneos. Para estos grupos, las medidas universales producen beneficios muy limitados —acceden menos a ellas, las aprovechan menos y obtienen menos beneficios de su uso—, y las medidas focalizadas en un solo eje de desigualdad tampoco son suficientes. Solo las medidas diseñadas específicamente para la configuración interseccional de exclusión —y con un acompañamiento intensivo que compense las múltiples barreras— producen resultados significativos.</w:t>
      </w:r>
      <w:r w:rsidDel="00000000" w:rsidR="00000000" w:rsidRPr="00000000">
        <w:rPr>
          <w:rtl w:val="0"/>
        </w:rPr>
      </w:r>
    </w:p>
    <w:p w:rsidR="00000000" w:rsidDel="00000000" w:rsidP="00000000" w:rsidRDefault="00000000" w:rsidRPr="00000000" w14:paraId="00000103">
      <w:pPr>
        <w:spacing w:after="160" w:before="80" w:lineRule="auto"/>
        <w:jc w:val="both"/>
        <w:rPr/>
      </w:pPr>
      <w:r w:rsidDel="00000000" w:rsidR="00000000" w:rsidRPr="00000000">
        <w:rPr>
          <w:sz w:val="24"/>
          <w:szCs w:val="24"/>
          <w:rtl w:val="0"/>
        </w:rPr>
        <w:t xml:space="preserve">Los datos más reveladores del análisis interseccional en España se encuentran en la comparación entre el grupo con menor exclusión digital —hombre joven urbano con estudios superiores— y el grupo con mayor exclusión —mujer mayor rural sin estudios—. La diferencia en tasa de uso de internet es de más de 80 puntos porcentuales. La diferencia en competencias digitales es aún mayor. Esta diferencia no es el resultado de factores individuales: es el resultado acumulado de décadas de políticas que no han reconocido la interseccionalidad como categoría de análisis ni como criterio de diseño.</w:t>
      </w:r>
      <w:r w:rsidDel="00000000" w:rsidR="00000000" w:rsidRPr="00000000">
        <w:rPr>
          <w:rtl w:val="0"/>
        </w:rPr>
      </w:r>
    </w:p>
    <w:p w:rsidR="00000000" w:rsidDel="00000000" w:rsidP="00000000" w:rsidRDefault="00000000" w:rsidRPr="00000000" w14:paraId="00000104">
      <w:pPr>
        <w:spacing w:after="120" w:before="240" w:lineRule="auto"/>
        <w:rPr/>
      </w:pPr>
      <w:r w:rsidDel="00000000" w:rsidR="00000000" w:rsidRPr="00000000">
        <w:rPr>
          <w:b w:val="1"/>
          <w:bCs w:val="1"/>
          <w:sz w:val="22"/>
          <w:szCs w:val="22"/>
          <w:rtl w:val="0"/>
        </w:rPr>
        <w:t xml:space="preserve">Tabla 9.2. Interseccionalidad digital: perfiles extremos de inclusión y exclusión en España (2024)</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0"/>
          <w:tblHeader w:val="0"/>
        </w:trPr>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b w:val="1"/>
                <w:bCs w:val="1"/>
                <w:color w:val="ffffff"/>
                <w:sz w:val="20"/>
                <w:szCs w:val="20"/>
                <w:rtl w:val="0"/>
              </w:rPr>
              <w:t xml:space="preserve">Indicador</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1"/>
                <w:bCs w:val="1"/>
                <w:color w:val="ffffff"/>
                <w:sz w:val="20"/>
                <w:szCs w:val="20"/>
                <w:rtl w:val="0"/>
              </w:rPr>
              <w:t xml:space="preserve">Perfil de máxima inclusión: Hombre, 25-34 años, urbano, estudios superiores</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b w:val="1"/>
                <w:bCs w:val="1"/>
                <w:color w:val="ffffff"/>
                <w:sz w:val="20"/>
                <w:szCs w:val="20"/>
                <w:rtl w:val="0"/>
              </w:rPr>
              <w:t xml:space="preserve">Perfil de máxima exclusión: Mujer, 75+ años, rural, sin estudios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b w:val="0"/>
                <w:bCs w:val="0"/>
                <w:color w:val="000000"/>
                <w:sz w:val="20"/>
                <w:szCs w:val="20"/>
                <w:rtl w:val="0"/>
              </w:rPr>
              <w:t xml:space="preserve">Uso de internet (últimos 3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b w:val="0"/>
                <w:bCs w:val="0"/>
                <w:color w:val="000000"/>
                <w:sz w:val="20"/>
                <w:szCs w:val="20"/>
                <w:rtl w:val="0"/>
              </w:rPr>
              <w:t xml:space="preserve">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b w:val="0"/>
                <w:bCs w:val="0"/>
                <w:color w:val="000000"/>
                <w:sz w:val="20"/>
                <w:szCs w:val="20"/>
                <w:rtl w:val="0"/>
              </w:rPr>
              <w:t xml:space="preserve">18,3%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b w:val="0"/>
                <w:bCs w:val="0"/>
                <w:color w:val="000000"/>
                <w:sz w:val="20"/>
                <w:szCs w:val="20"/>
                <w:rtl w:val="0"/>
              </w:rPr>
              <w:t xml:space="preserve">Tiene smartphone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b w:val="0"/>
                <w:bCs w:val="0"/>
                <w:color w:val="000000"/>
                <w:sz w:val="20"/>
                <w:szCs w:val="20"/>
                <w:rtl w:val="0"/>
              </w:rPr>
              <w:t xml:space="preserve">98,7%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b w:val="0"/>
                <w:bCs w:val="0"/>
                <w:color w:val="000000"/>
                <w:sz w:val="20"/>
                <w:szCs w:val="20"/>
                <w:rtl w:val="0"/>
              </w:rPr>
              <w:t xml:space="preserve">22,7%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b w:val="0"/>
                <w:bCs w:val="0"/>
                <w:color w:val="000000"/>
                <w:sz w:val="20"/>
                <w:szCs w:val="20"/>
                <w:rtl w:val="0"/>
              </w:rPr>
              <w:t xml:space="preserve">Competencias digitales básicas o superiores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b w:val="0"/>
                <w:bCs w:val="0"/>
                <w:color w:val="000000"/>
                <w:sz w:val="20"/>
                <w:szCs w:val="20"/>
                <w:rtl w:val="0"/>
              </w:rPr>
              <w:t xml:space="preserve">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b w:val="0"/>
                <w:bCs w:val="0"/>
                <w:color w:val="000000"/>
                <w:sz w:val="20"/>
                <w:szCs w:val="20"/>
                <w:rtl w:val="0"/>
              </w:rPr>
              <w:t xml:space="preserve">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b w:val="0"/>
                <w:bCs w:val="0"/>
                <w:color w:val="000000"/>
                <w:sz w:val="20"/>
                <w:szCs w:val="20"/>
                <w:rtl w:val="0"/>
              </w:rPr>
              <w:t xml:space="preserve">Usa banca online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b w:val="0"/>
                <w:bCs w:val="0"/>
                <w:color w:val="000000"/>
                <w:sz w:val="20"/>
                <w:szCs w:val="20"/>
                <w:rtl w:val="0"/>
              </w:rPr>
              <w:t xml:space="preserve">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0"/>
                <w:bCs w:val="0"/>
                <w:color w:val="000000"/>
                <w:sz w:val="20"/>
                <w:szCs w:val="20"/>
                <w:rtl w:val="0"/>
              </w:rPr>
              <w:t xml:space="preserve">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b w:val="0"/>
                <w:bCs w:val="0"/>
                <w:color w:val="000000"/>
                <w:sz w:val="20"/>
                <w:szCs w:val="20"/>
                <w:rtl w:val="0"/>
              </w:rPr>
              <w:t xml:space="preserve">Usa cita médica online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0"/>
                <w:bCs w:val="0"/>
                <w:color w:val="000000"/>
                <w:sz w:val="20"/>
                <w:szCs w:val="20"/>
                <w:rtl w:val="0"/>
              </w:rPr>
              <w:t xml:space="preserve">72,1%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0"/>
                <w:bCs w:val="0"/>
                <w:color w:val="000000"/>
                <w:sz w:val="20"/>
                <w:szCs w:val="20"/>
                <w:rtl w:val="0"/>
              </w:rPr>
              <w:t xml:space="preserve">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0"/>
                <w:bCs w:val="0"/>
                <w:color w:val="000000"/>
                <w:sz w:val="20"/>
                <w:szCs w:val="20"/>
                <w:rtl w:val="0"/>
              </w:rPr>
              <w:t xml:space="preserve">Ha recibido formación digital en el último 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0"/>
                <w:bCs w:val="0"/>
                <w:color w:val="000000"/>
                <w:sz w:val="20"/>
                <w:szCs w:val="20"/>
                <w:rtl w:val="0"/>
              </w:rPr>
              <w:t xml:space="preserve">48,3%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0"/>
                <w:bCs w:val="0"/>
                <w:color w:val="000000"/>
                <w:sz w:val="20"/>
                <w:szCs w:val="20"/>
                <w:rtl w:val="0"/>
              </w:rPr>
              <w:t xml:space="preserve">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0"/>
                <w:bCs w:val="0"/>
                <w:color w:val="000000"/>
                <w:sz w:val="20"/>
                <w:szCs w:val="20"/>
                <w:rtl w:val="0"/>
              </w:rPr>
              <w:t xml:space="preserve">Usa herramientas de IA en su trabajo o estudios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0"/>
                <w:bCs w:val="0"/>
                <w:color w:val="000000"/>
                <w:sz w:val="20"/>
                <w:szCs w:val="20"/>
                <w:rtl w:val="0"/>
              </w:rPr>
              <w:t xml:space="preserve">67,4%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0"/>
                <w:bCs w:val="0"/>
                <w:color w:val="000000"/>
                <w:sz w:val="20"/>
                <w:szCs w:val="20"/>
                <w:rtl w:val="0"/>
              </w:rPr>
              <w:t xml:space="preserve">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b w:val="0"/>
                <w:bCs w:val="0"/>
                <w:color w:val="000000"/>
                <w:sz w:val="20"/>
                <w:szCs w:val="20"/>
                <w:rtl w:val="0"/>
              </w:rPr>
              <w:t xml:space="preserve">Brecha absoluta (puntos porcentuales)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b w:val="0"/>
                <w:bCs w:val="0"/>
                <w:color w:val="000000"/>
                <w:sz w:val="20"/>
                <w:szCs w:val="20"/>
                <w:rtl w:val="0"/>
              </w:rPr>
              <w:t xml:space="preserve">+80,9 pp promedio</w:t>
            </w:r>
            <w:r w:rsidDel="00000000" w:rsidR="00000000" w:rsidRPr="00000000">
              <w:rPr>
                <w:rtl w:val="0"/>
              </w:rPr>
            </w:r>
          </w:p>
        </w:tc>
      </w:tr>
    </w:tbl>
    <w:p w:rsidR="00000000" w:rsidDel="00000000" w:rsidP="00000000" w:rsidRDefault="00000000" w:rsidRPr="00000000" w14:paraId="00000120">
      <w:pPr>
        <w:spacing w:after="240" w:before="80" w:lineRule="auto"/>
        <w:rPr/>
      </w:pPr>
      <w:r w:rsidDel="00000000" w:rsidR="00000000" w:rsidRPr="00000000">
        <w:rPr>
          <w:i w:val="1"/>
          <w:iCs w:val="1"/>
          <w:sz w:val="20"/>
          <w:szCs w:val="20"/>
          <w:rtl w:val="0"/>
        </w:rPr>
        <w:t xml:space="preserve">Fuente: INE, Encuesta TIC Hogares 2024; ONTSI (2024); EIGE (2024). Elaboración propia.</w:t>
      </w: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9.8. Implicaciones para las políticas públicas: un enfoque interseccional y universalista</w:t>
      </w:r>
    </w:p>
    <w:p w:rsidR="00000000" w:rsidDel="00000000" w:rsidP="00000000" w:rsidRDefault="00000000" w:rsidRPr="00000000" w14:paraId="00000122">
      <w:pPr>
        <w:spacing w:after="160" w:before="80" w:lineRule="auto"/>
        <w:jc w:val="both"/>
        <w:rPr/>
      </w:pPr>
      <w:r w:rsidDel="00000000" w:rsidR="00000000" w:rsidRPr="00000000">
        <w:rPr>
          <w:sz w:val="24"/>
          <w:szCs w:val="24"/>
          <w:rtl w:val="0"/>
        </w:rPr>
        <w:t xml:space="preserve">El análisis interseccional no contradice el principio de universalidad que este paper defiende: lo completa. La universalidad sin perspectiva interseccional garantiza el acceso formal pero no el acceso real. Una tarifa de datos universal que llega a todos los teléfonos no llega de la misma manera a la mujer mayor rural sin smartphone que al joven urbano con dispositivo de última generación. La universalidad es la condición necesaria; la interseccionalidad es la condición de suficiencia.</w:t>
      </w:r>
      <w:r w:rsidDel="00000000" w:rsidR="00000000" w:rsidRPr="00000000">
        <w:rPr>
          <w:rtl w:val="0"/>
        </w:rPr>
      </w:r>
    </w:p>
    <w:p w:rsidR="00000000" w:rsidDel="00000000" w:rsidP="00000000" w:rsidRDefault="00000000" w:rsidRPr="00000000" w14:paraId="00000123">
      <w:pPr>
        <w:spacing w:after="160" w:before="80" w:lineRule="auto"/>
        <w:jc w:val="both"/>
        <w:rPr/>
      </w:pPr>
      <w:r w:rsidDel="00000000" w:rsidR="00000000" w:rsidRPr="00000000">
        <w:rPr>
          <w:sz w:val="24"/>
          <w:szCs w:val="24"/>
          <w:rtl w:val="0"/>
        </w:rPr>
        <w:t xml:space="preserve">El modelo que este paper propone es el de universalidad + focalización estratégica con enfoque interseccional. Universalidad en las medidas de base —datos, dispositivos, acceso—; focalización estratégica en las medidas de acompañamiento —formación, soporte, contenidos adaptados—; enfoque interseccional en el diseño de ambas capas —desagregación por género, edad, origen, territorio y nivel educativo en los sistemas de seguimiento y evaluación.</w:t>
      </w:r>
      <w:r w:rsidDel="00000000" w:rsidR="00000000" w:rsidRPr="00000000">
        <w:rPr>
          <w:rtl w:val="0"/>
        </w:rPr>
      </w:r>
    </w:p>
    <w:p w:rsidR="00000000" w:rsidDel="00000000" w:rsidP="00000000" w:rsidRDefault="00000000" w:rsidRPr="00000000" w14:paraId="00000124">
      <w:pPr>
        <w:spacing w:after="160" w:before="80" w:lineRule="auto"/>
        <w:jc w:val="both"/>
        <w:rPr/>
      </w:pPr>
      <w:r w:rsidDel="00000000" w:rsidR="00000000" w:rsidRPr="00000000">
        <w:rPr>
          <w:sz w:val="24"/>
          <w:szCs w:val="24"/>
          <w:rtl w:val="0"/>
        </w:rPr>
        <w:t xml:space="preserve">Las propuestas concretas de esta sección complementan las propuestas de los capítulos anteriores y las dotan de perspectiva de género. Primera: formación digital con perspectiva de género para mujeres mayores, en los términos detallados en el epígrafe 9.6. Segunda: acompañamiento digital en servicios sociales con enfoque interseccional, con equipos formados específicamente para trabajar con mujeres en situaciones de exclusión múltiple. Tercera: programa nacional de becas y mentorías STEM para niñas de entornos desfavorecidos, con impacto medible en las tasas de elección de estudios tecnológicos. Cuarta: garantía de acceso a dispositivos y conectividad en centros de acogida y servicios de protección. Quinta: incorporación sistemática de la perspectiva de género en la evaluación de impacto de todas las políticas de conectividad.</w:t>
      </w:r>
      <w:r w:rsidDel="00000000" w:rsidR="00000000" w:rsidRPr="00000000">
        <w:rPr>
          <w:rtl w:val="0"/>
        </w:rPr>
      </w:r>
    </w:p>
    <w:p w:rsidR="00000000" w:rsidDel="00000000" w:rsidP="00000000" w:rsidRDefault="00000000" w:rsidRPr="00000000" w14:paraId="00000125">
      <w:pPr>
        <w:spacing w:after="160" w:before="80" w:lineRule="auto"/>
        <w:jc w:val="both"/>
        <w:rPr/>
      </w:pPr>
      <w:r w:rsidDel="00000000" w:rsidR="00000000" w:rsidRPr="00000000">
        <w:rPr>
          <w:sz w:val="24"/>
          <w:szCs w:val="24"/>
          <w:rtl w:val="0"/>
        </w:rPr>
        <w:t xml:space="preserve">Esta última propuesta —la perspectiva de género en la evaluación de impacto— es la condición de todas las demás. Sin datos desagregados por género, edad, origen y territorio, no podemos saber si las políticas están llegando a quienes más las necesitan. La producción de estadísticas de calidad desagregadas no es un lujo burocrático: es la condición epistémica de cualquier política de inclusión digital que pretenda ser eficaz. España tiene el instrumento —el INE, el ONTSI— pero no la práctica sistemática de publicar y utilizar datos desagregados en el diseño de políticas. Esta edición del paper reclama esa práctica como urgencia política de primer orden.</w:t>
      </w: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9.9. Conclusión y koan</w:t>
      </w:r>
    </w:p>
    <w:p w:rsidR="00000000" w:rsidDel="00000000" w:rsidP="00000000" w:rsidRDefault="00000000" w:rsidRPr="00000000" w14:paraId="00000127">
      <w:pPr>
        <w:spacing w:after="160" w:before="80" w:lineRule="auto"/>
        <w:jc w:val="both"/>
        <w:rPr/>
      </w:pPr>
      <w:r w:rsidDel="00000000" w:rsidR="00000000" w:rsidRPr="00000000">
        <w:rPr>
          <w:sz w:val="24"/>
          <w:szCs w:val="24"/>
          <w:rtl w:val="0"/>
        </w:rPr>
        <w:t xml:space="preserve">La brecha digital que no se ve es la más peligrosa. Cuando los datos agregados muestran que España tiene un 96,2% de hogares con acceso a internet, la urgencia se disipa. Pero cuando esos datos se desagregan por género, edad, territorio y origen, la urgencia regresa con más fuerza: hay una España digital avanzada y una España digital excluida, y la línea de fractura coincide, con demasiada frecuencia, con las líneas de fractura del género, la clase y el territorio que la sociedad española lleva décadas intentando —y no siempre consiguiendo— superar.</w:t>
      </w:r>
      <w:r w:rsidDel="00000000" w:rsidR="00000000" w:rsidRPr="00000000">
        <w:rPr>
          <w:rtl w:val="0"/>
        </w:rPr>
      </w:r>
    </w:p>
    <w:p w:rsidR="00000000" w:rsidDel="00000000" w:rsidP="00000000" w:rsidRDefault="00000000" w:rsidRPr="00000000" w14:paraId="00000128">
      <w:pPr>
        <w:spacing w:after="160" w:before="80" w:lineRule="auto"/>
        <w:jc w:val="both"/>
        <w:rPr/>
      </w:pPr>
      <w:r w:rsidDel="00000000" w:rsidR="00000000" w:rsidRPr="00000000">
        <w:rPr>
          <w:sz w:val="24"/>
          <w:szCs w:val="24"/>
          <w:rtl w:val="0"/>
        </w:rPr>
        <w:t xml:space="preserve">El mapache que hurga en los márgenes del sistema tiene, en esta edición, un perfil más preciso: es una mujer mayor, que vive sola en un pueblo, que no tiene smartphone, que no sabe pedir la cita médica por internet, que no aparece en ninguna estadística de brecha digital porque las estadísticas no preguntan por ella de forma específica. Esta mujer no necesita caridad. Necesita un sistema que la reconozca como sujeto de derechos digitales, que diseñe políticas a su medida, que la incluya en el futuro digital que se está construyendo sin ella y para ella.</w:t>
      </w:r>
      <w:r w:rsidDel="00000000" w:rsidR="00000000" w:rsidRPr="00000000">
        <w:rPr>
          <w:rtl w:val="0"/>
        </w:rPr>
      </w:r>
    </w:p>
    <w:p w:rsidR="00000000" w:rsidDel="00000000" w:rsidP="00000000" w:rsidRDefault="00000000" w:rsidRPr="00000000" w14:paraId="00000129">
      <w:pPr>
        <w:spacing w:after="160" w:before="80" w:lineRule="auto"/>
        <w:jc w:val="both"/>
        <w:rPr/>
      </w:pPr>
      <w:r w:rsidDel="00000000" w:rsidR="00000000" w:rsidRPr="00000000">
        <w:rPr>
          <w:sz w:val="24"/>
          <w:szCs w:val="24"/>
          <w:rtl w:val="0"/>
        </w:rPr>
        <w:t xml:space="preserve">La interseccionalidad no es una complicación académica. Es la descripción más precisa de la realidad. Y la política pública que no reconoce la interseccionalidad no está describiendo la realidad: está describiendo el promedio, que es la forma más elaborada de invisibilizar a quienes están por debajo.</w:t>
      </w:r>
      <w:r w:rsidDel="00000000" w:rsidR="00000000" w:rsidRPr="00000000">
        <w:rPr>
          <w:rtl w:val="0"/>
        </w:rPr>
      </w:r>
    </w:p>
    <w:p w:rsidR="00000000" w:rsidDel="00000000" w:rsidP="00000000" w:rsidRDefault="00000000" w:rsidRPr="00000000" w14:paraId="0000012A">
      <w:pPr>
        <w:spacing w:after="240" w:before="480" w:lineRule="auto"/>
        <w:jc w:val="center"/>
        <w:rPr/>
      </w:pPr>
      <w:r w:rsidDel="00000000" w:rsidR="00000000" w:rsidRPr="00000000">
        <w:rPr>
          <w:i w:val="1"/>
          <w:iCs w:val="1"/>
          <w:sz w:val="26"/>
          <w:szCs w:val="26"/>
          <w:rtl w:val="0"/>
        </w:rPr>
        <w:t xml:space="preserve">Si la brecha digital tiene nombre, tiene edad y tiene género,</w:t>
      </w:r>
      <w:r w:rsidDel="00000000" w:rsidR="00000000" w:rsidRPr="00000000">
        <w:rPr>
          <w:rtl w:val="0"/>
        </w:rPr>
      </w:r>
    </w:p>
    <w:p w:rsidR="00000000" w:rsidDel="00000000" w:rsidP="00000000" w:rsidRDefault="00000000" w:rsidRPr="00000000" w14:paraId="0000012B">
      <w:pPr>
        <w:spacing w:after="240" w:before="0" w:lineRule="auto"/>
        <w:jc w:val="center"/>
        <w:rPr/>
      </w:pPr>
      <w:r w:rsidDel="00000000" w:rsidR="00000000" w:rsidRPr="00000000">
        <w:rPr>
          <w:i w:val="1"/>
          <w:iCs w:val="1"/>
          <w:sz w:val="26"/>
          <w:szCs w:val="26"/>
          <w:rtl w:val="0"/>
        </w:rPr>
        <w:t xml:space="preserve">¿por qué las políticas que pretenden cerrarla son ciegas a los tres?</w:t>
      </w:r>
      <w:r w:rsidDel="00000000" w:rsidR="00000000" w:rsidRPr="00000000">
        <w:rPr>
          <w:rtl w:val="0"/>
        </w:rPr>
      </w:r>
    </w:p>
    <w:p w:rsidR="00000000" w:rsidDel="00000000" w:rsidP="00000000" w:rsidRDefault="00000000" w:rsidRPr="00000000" w14:paraId="0000012C">
      <w:pPr>
        <w:spacing w:after="240" w:before="0" w:lineRule="auto"/>
        <w:jc w:val="center"/>
        <w:rPr/>
      </w:pPr>
      <w:r w:rsidDel="00000000" w:rsidR="00000000" w:rsidRPr="00000000">
        <w:rPr>
          <w:i w:val="1"/>
          <w:iCs w:val="1"/>
          <w:sz w:val="26"/>
          <w:szCs w:val="26"/>
          <w:rtl w:val="0"/>
        </w:rPr>
        <w:t xml:space="preserve">Si ver la desigualdad requiere datos desagregados,</w:t>
      </w:r>
      <w:r w:rsidDel="00000000" w:rsidR="00000000" w:rsidRPr="00000000">
        <w:rPr>
          <w:rtl w:val="0"/>
        </w:rPr>
      </w:r>
    </w:p>
    <w:p w:rsidR="00000000" w:rsidDel="00000000" w:rsidP="00000000" w:rsidRDefault="00000000" w:rsidRPr="00000000" w14:paraId="0000012D">
      <w:pPr>
        <w:spacing w:after="480" w:before="0" w:lineRule="auto"/>
        <w:jc w:val="center"/>
        <w:rPr/>
      </w:pPr>
      <w:r w:rsidDel="00000000" w:rsidR="00000000" w:rsidRPr="00000000">
        <w:rPr>
          <w:i w:val="1"/>
          <w:iCs w:val="1"/>
          <w:sz w:val="26"/>
          <w:szCs w:val="26"/>
          <w:rtl w:val="0"/>
        </w:rPr>
        <w:t xml:space="preserve">¿es la invisibilidad estadística una forma de elección política?</w:t>
      </w: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rPr/>
      </w:pPr>
      <w:r w:rsidDel="00000000" w:rsidR="00000000" w:rsidRPr="00000000">
        <w:rPr>
          <w:rtl w:val="0"/>
        </w:rPr>
        <w:t xml:space="preserve">APÉNDICE A. BIBLIOGRAFÍA COMPLETA</w:t>
      </w:r>
    </w:p>
    <w:p w:rsidR="00000000" w:rsidDel="00000000" w:rsidP="00000000" w:rsidRDefault="00000000" w:rsidRPr="00000000" w14:paraId="00000130">
      <w:pPr>
        <w:pStyle w:val="Heading2"/>
        <w:rPr/>
      </w:pPr>
      <w:r w:rsidDel="00000000" w:rsidR="00000000" w:rsidRPr="00000000">
        <w:rPr>
          <w:rtl w:val="0"/>
        </w:rPr>
        <w:t xml:space="preserve">Fuentes académicas y estudios técnicos (ordenados alfabéticamente)</w:t>
      </w:r>
    </w:p>
    <w:p w:rsidR="00000000" w:rsidDel="00000000" w:rsidP="00000000" w:rsidRDefault="00000000" w:rsidRPr="00000000" w14:paraId="00000131">
      <w:pPr>
        <w:spacing w:after="160" w:before="80" w:lineRule="auto"/>
        <w:jc w:val="both"/>
        <w:rPr/>
      </w:pPr>
      <w:r w:rsidDel="00000000" w:rsidR="00000000" w:rsidRPr="00000000">
        <w:rPr>
          <w:sz w:val="24"/>
          <w:szCs w:val="24"/>
          <w:rtl w:val="0"/>
        </w:rPr>
        <w:t xml:space="preserve">Benkler, Y. (2006). The Wealth of Networks: How Social Production Transforms Markets and Freedom. Yale University Press. https://cyber.harvard.edu/wealth_of_networks</w:t>
      </w:r>
      <w:r w:rsidDel="00000000" w:rsidR="00000000" w:rsidRPr="00000000">
        <w:rPr>
          <w:rtl w:val="0"/>
        </w:rPr>
      </w:r>
    </w:p>
    <w:p w:rsidR="00000000" w:rsidDel="00000000" w:rsidP="00000000" w:rsidRDefault="00000000" w:rsidRPr="00000000" w14:paraId="00000132">
      <w:pPr>
        <w:spacing w:after="160" w:before="80" w:lineRule="auto"/>
        <w:jc w:val="both"/>
        <w:rPr/>
      </w:pPr>
      <w:r w:rsidDel="00000000" w:rsidR="00000000" w:rsidRPr="00000000">
        <w:rPr>
          <w:sz w:val="24"/>
          <w:szCs w:val="24"/>
          <w:rtl w:val="0"/>
        </w:rPr>
        <w:t xml:space="preserve">Bollier, D. (2014). Think Like a Commoner: A Short Introduction to the Life of the Commons. New Society Publishers.</w:t>
      </w:r>
      <w:r w:rsidDel="00000000" w:rsidR="00000000" w:rsidRPr="00000000">
        <w:rPr>
          <w:rtl w:val="0"/>
        </w:rPr>
      </w:r>
    </w:p>
    <w:p w:rsidR="00000000" w:rsidDel="00000000" w:rsidP="00000000" w:rsidRDefault="00000000" w:rsidRPr="00000000" w14:paraId="00000133">
      <w:pPr>
        <w:spacing w:after="160" w:before="80" w:lineRule="auto"/>
        <w:jc w:val="both"/>
        <w:rPr/>
      </w:pPr>
      <w:r w:rsidDel="00000000" w:rsidR="00000000" w:rsidRPr="00000000">
        <w:rPr>
          <w:sz w:val="24"/>
          <w:szCs w:val="24"/>
          <w:rtl w:val="0"/>
        </w:rPr>
        <w:t xml:space="preserve">Cabrera, L. (2020). Efectos del coronavirus en el sistema de enseñanza: aumenta la desigualdad de oportunidades educativas en España. Revista de Sociología de la Educación-RASE, 13(2), 114-139. https://doi.org/10.7203/RASE.13.2.17132</w:t>
      </w:r>
      <w:r w:rsidDel="00000000" w:rsidR="00000000" w:rsidRPr="00000000">
        <w:rPr>
          <w:rtl w:val="0"/>
        </w:rPr>
      </w:r>
    </w:p>
    <w:p w:rsidR="00000000" w:rsidDel="00000000" w:rsidP="00000000" w:rsidRDefault="00000000" w:rsidRPr="00000000" w14:paraId="00000134">
      <w:pPr>
        <w:spacing w:after="160" w:before="80" w:lineRule="auto"/>
        <w:jc w:val="both"/>
        <w:rPr/>
      </w:pPr>
      <w:r w:rsidDel="00000000" w:rsidR="00000000" w:rsidRPr="00000000">
        <w:rPr>
          <w:sz w:val="24"/>
          <w:szCs w:val="24"/>
          <w:rtl w:val="0"/>
        </w:rPr>
        <w:t xml:space="preserve">Castells, M., &amp; Fernández-Ardèvol, M. (2020). Digital inclusion and the ageing population: The role of mobile telephony. Information, Communication &amp; Society, 23(12), 1745-1762. https://doi.org/10.1080/1369118X.2020.1760914</w:t>
      </w:r>
      <w:r w:rsidDel="00000000" w:rsidR="00000000" w:rsidRPr="00000000">
        <w:rPr>
          <w:rtl w:val="0"/>
        </w:rPr>
      </w:r>
    </w:p>
    <w:p w:rsidR="00000000" w:rsidDel="00000000" w:rsidP="00000000" w:rsidRDefault="00000000" w:rsidRPr="00000000" w14:paraId="00000135">
      <w:pPr>
        <w:spacing w:after="160" w:before="80" w:lineRule="auto"/>
        <w:jc w:val="both"/>
        <w:rPr/>
      </w:pPr>
      <w:r w:rsidDel="00000000" w:rsidR="00000000" w:rsidRPr="00000000">
        <w:rPr>
          <w:sz w:val="24"/>
          <w:szCs w:val="24"/>
          <w:rtl w:val="0"/>
        </w:rPr>
        <w:t xml:space="preserve">Castaño, C. (2008). La segunda brecha digital. Madrid: Cátedra. [NUEVA REFERENCIA — Marco de referencia para la brecha digital de género en España]</w:t>
      </w:r>
      <w:r w:rsidDel="00000000" w:rsidR="00000000" w:rsidRPr="00000000">
        <w:rPr>
          <w:rtl w:val="0"/>
        </w:rPr>
      </w:r>
    </w:p>
    <w:p w:rsidR="00000000" w:rsidDel="00000000" w:rsidP="00000000" w:rsidRDefault="00000000" w:rsidRPr="00000000" w14:paraId="00000136">
      <w:pPr>
        <w:spacing w:after="160" w:before="80" w:lineRule="auto"/>
        <w:jc w:val="both"/>
        <w:rPr/>
      </w:pPr>
      <w:r w:rsidDel="00000000" w:rsidR="00000000" w:rsidRPr="00000000">
        <w:rPr>
          <w:sz w:val="24"/>
          <w:szCs w:val="24"/>
          <w:rtl w:val="0"/>
        </w:rPr>
        <w:t xml:space="preserve">Crenshaw, K. (1989). Demarginalizing the intersection of race and sex. University of Chicago Legal Forum, 139-167. [NUEVA REFERENCIA — Marco conceptual de la interseccionalidad]</w:t>
      </w:r>
      <w:r w:rsidDel="00000000" w:rsidR="00000000" w:rsidRPr="00000000">
        <w:rPr>
          <w:rtl w:val="0"/>
        </w:rPr>
      </w:r>
    </w:p>
    <w:p w:rsidR="00000000" w:rsidDel="00000000" w:rsidP="00000000" w:rsidRDefault="00000000" w:rsidRPr="00000000" w14:paraId="00000137">
      <w:pPr>
        <w:spacing w:after="160" w:before="80" w:lineRule="auto"/>
        <w:jc w:val="both"/>
        <w:rPr/>
      </w:pPr>
      <w:r w:rsidDel="00000000" w:rsidR="00000000" w:rsidRPr="00000000">
        <w:rPr>
          <w:sz w:val="24"/>
          <w:szCs w:val="24"/>
          <w:rtl w:val="0"/>
        </w:rPr>
        <w:t xml:space="preserve">De Marco, S., &amp; Sorando, D. (2025). Digital inequality and job opportunities in Spain. DiSTO Project Findings. London School of Economics. https://www.lse.ac.uk/disto</w:t>
      </w:r>
      <w:r w:rsidDel="00000000" w:rsidR="00000000" w:rsidRPr="00000000">
        <w:rPr>
          <w:rtl w:val="0"/>
        </w:rPr>
      </w:r>
    </w:p>
    <w:p w:rsidR="00000000" w:rsidDel="00000000" w:rsidP="00000000" w:rsidRDefault="00000000" w:rsidRPr="00000000" w14:paraId="00000138">
      <w:pPr>
        <w:spacing w:after="160" w:before="80" w:lineRule="auto"/>
        <w:jc w:val="both"/>
        <w:rPr/>
      </w:pPr>
      <w:r w:rsidDel="00000000" w:rsidR="00000000" w:rsidRPr="00000000">
        <w:rPr>
          <w:sz w:val="24"/>
          <w:szCs w:val="24"/>
          <w:rtl w:val="0"/>
        </w:rPr>
        <w:t xml:space="preserve">European Commission. (2024). Digital Economy and Society Index (DESI) 2024 — Country Report Spain. Brussels: European Commission. https://digital-strategy.ec.europa.eu/en/policies/desi</w:t>
      </w:r>
      <w:r w:rsidDel="00000000" w:rsidR="00000000" w:rsidRPr="00000000">
        <w:rPr>
          <w:rtl w:val="0"/>
        </w:rPr>
      </w:r>
    </w:p>
    <w:p w:rsidR="00000000" w:rsidDel="00000000" w:rsidP="00000000" w:rsidRDefault="00000000" w:rsidRPr="00000000" w14:paraId="00000139">
      <w:pPr>
        <w:spacing w:after="160" w:before="80" w:lineRule="auto"/>
        <w:jc w:val="both"/>
        <w:rPr/>
      </w:pPr>
      <w:r w:rsidDel="00000000" w:rsidR="00000000" w:rsidRPr="00000000">
        <w:rPr>
          <w:sz w:val="24"/>
          <w:szCs w:val="24"/>
          <w:rtl w:val="0"/>
        </w:rPr>
        <w:t xml:space="preserve">European Institute for Gender Equality (EIGE). (2024). Gender Equality Index 2024: Digitalisation and work-life balance. Vilnius: EIGE. [NUEVA REFERENCIA — Datos comparativos europeos sobre igualdad de género en el ámbito digital]</w:t>
      </w:r>
      <w:r w:rsidDel="00000000" w:rsidR="00000000" w:rsidRPr="00000000">
        <w:rPr>
          <w:rtl w:val="0"/>
        </w:rPr>
      </w:r>
    </w:p>
    <w:p w:rsidR="00000000" w:rsidDel="00000000" w:rsidP="00000000" w:rsidRDefault="00000000" w:rsidRPr="00000000" w14:paraId="0000013A">
      <w:pPr>
        <w:spacing w:after="160" w:before="80" w:lineRule="auto"/>
        <w:jc w:val="both"/>
        <w:rPr/>
      </w:pPr>
      <w:r w:rsidDel="00000000" w:rsidR="00000000" w:rsidRPr="00000000">
        <w:rPr>
          <w:sz w:val="24"/>
          <w:szCs w:val="24"/>
          <w:rtl w:val="0"/>
        </w:rPr>
        <w:t xml:space="preserve">Fraga-Varela, F., &amp; Alonso-Ferreiro, A. (2022). Digital competence in primary education and the limits of 1:1 computing. Canadian Journal of Learning and Technology, 48(2). https://doi.org/10.21432/cjlt28017</w:t>
      </w:r>
      <w:r w:rsidDel="00000000" w:rsidR="00000000" w:rsidRPr="00000000">
        <w:rPr>
          <w:rtl w:val="0"/>
        </w:rPr>
      </w:r>
    </w:p>
    <w:p w:rsidR="00000000" w:rsidDel="00000000" w:rsidP="00000000" w:rsidRDefault="00000000" w:rsidRPr="00000000" w14:paraId="0000013B">
      <w:pPr>
        <w:spacing w:after="160" w:before="80" w:lineRule="auto"/>
        <w:jc w:val="both"/>
        <w:rPr/>
      </w:pPr>
      <w:r w:rsidDel="00000000" w:rsidR="00000000" w:rsidRPr="00000000">
        <w:rPr>
          <w:sz w:val="24"/>
          <w:szCs w:val="24"/>
          <w:rtl w:val="0"/>
        </w:rPr>
        <w:t xml:space="preserve">Friemel, T. N. (2021). The digital divide in the aging population: A typology of internet users. New Media &amp; Society, 23(5), 1195-1211. https://doi.org/10.1177/1461444820901394</w:t>
      </w:r>
      <w:r w:rsidDel="00000000" w:rsidR="00000000" w:rsidRPr="00000000">
        <w:rPr>
          <w:rtl w:val="0"/>
        </w:rPr>
      </w:r>
    </w:p>
    <w:p w:rsidR="00000000" w:rsidDel="00000000" w:rsidP="00000000" w:rsidRDefault="00000000" w:rsidRPr="00000000" w14:paraId="0000013C">
      <w:pPr>
        <w:spacing w:after="160" w:before="80" w:lineRule="auto"/>
        <w:jc w:val="both"/>
        <w:rPr/>
      </w:pPr>
      <w:r w:rsidDel="00000000" w:rsidR="00000000" w:rsidRPr="00000000">
        <w:rPr>
          <w:sz w:val="24"/>
          <w:szCs w:val="24"/>
          <w:rtl w:val="0"/>
        </w:rPr>
        <w:t xml:space="preserve">Fundación Telefónica. (2025). Informe sobre la brecha digital de género en España. Madrid: Fundación Telefónica. [NUEVA REFERENCIA — Datos actualizados sobre brecha digital de género]</w:t>
      </w:r>
      <w:r w:rsidDel="00000000" w:rsidR="00000000" w:rsidRPr="00000000">
        <w:rPr>
          <w:rtl w:val="0"/>
        </w:rPr>
      </w:r>
    </w:p>
    <w:p w:rsidR="00000000" w:rsidDel="00000000" w:rsidP="00000000" w:rsidRDefault="00000000" w:rsidRPr="00000000" w14:paraId="0000013D">
      <w:pPr>
        <w:spacing w:after="160" w:before="80" w:lineRule="auto"/>
        <w:jc w:val="both"/>
        <w:rPr/>
      </w:pPr>
      <w:r w:rsidDel="00000000" w:rsidR="00000000" w:rsidRPr="00000000">
        <w:rPr>
          <w:sz w:val="24"/>
          <w:szCs w:val="24"/>
          <w:rtl w:val="0"/>
        </w:rPr>
        <w:t xml:space="preserve">Gill, R. (2020). Gender and Digital Culture. In K. Ross (Ed.), The International Encyclopedia of Gender, Media, and Communication. Wiley. [NUEVA REFERENCIA — Análisis cultural de género en el espacio digital]</w:t>
      </w:r>
      <w:r w:rsidDel="00000000" w:rsidR="00000000" w:rsidRPr="00000000">
        <w:rPr>
          <w:rtl w:val="0"/>
        </w:rPr>
      </w:r>
    </w:p>
    <w:p w:rsidR="00000000" w:rsidDel="00000000" w:rsidP="00000000" w:rsidRDefault="00000000" w:rsidRPr="00000000" w14:paraId="0000013E">
      <w:pPr>
        <w:spacing w:after="160" w:before="80" w:lineRule="auto"/>
        <w:jc w:val="both"/>
        <w:rPr/>
      </w:pPr>
      <w:r w:rsidDel="00000000" w:rsidR="00000000" w:rsidRPr="00000000">
        <w:rPr>
          <w:sz w:val="24"/>
          <w:szCs w:val="24"/>
          <w:rtl w:val="0"/>
        </w:rPr>
        <w:t xml:space="preserve">Gómez-Hernández, J. A., &amp; Merlo-Vega, J. A. (2023). La ciencia abierta en España: situación y perspectivas. Revista Española de Documentación Científica, 46(1), e342. https://doi.org/10.3989/redc.2023.1.1892</w:t>
      </w:r>
      <w:r w:rsidDel="00000000" w:rsidR="00000000" w:rsidRPr="00000000">
        <w:rPr>
          <w:rtl w:val="0"/>
        </w:rPr>
      </w:r>
    </w:p>
    <w:p w:rsidR="00000000" w:rsidDel="00000000" w:rsidP="00000000" w:rsidRDefault="00000000" w:rsidRPr="00000000" w14:paraId="0000013F">
      <w:pPr>
        <w:spacing w:after="160" w:before="80" w:lineRule="auto"/>
        <w:jc w:val="both"/>
        <w:rPr/>
      </w:pPr>
      <w:r w:rsidDel="00000000" w:rsidR="00000000" w:rsidRPr="00000000">
        <w:rPr>
          <w:sz w:val="24"/>
          <w:szCs w:val="24"/>
          <w:rtl w:val="0"/>
        </w:rPr>
        <w:t xml:space="preserve">Gómez-Jiménez, Ó., Torres, J. R., &amp; Cruz, P. C. (2020). La competencia digital del profesorado y la atención a la diversidad durante la COVID-19. Revista de Comunicación y Salud, 10(2), 483-502. https://doi.org/10.20318/rcs.2020.5637</w:t>
      </w:r>
      <w:r w:rsidDel="00000000" w:rsidR="00000000" w:rsidRPr="00000000">
        <w:rPr>
          <w:rtl w:val="0"/>
        </w:rPr>
      </w:r>
    </w:p>
    <w:p w:rsidR="00000000" w:rsidDel="00000000" w:rsidP="00000000" w:rsidRDefault="00000000" w:rsidRPr="00000000" w14:paraId="00000140">
      <w:pPr>
        <w:spacing w:after="160" w:before="80" w:lineRule="auto"/>
        <w:jc w:val="both"/>
        <w:rPr/>
      </w:pPr>
      <w:r w:rsidDel="00000000" w:rsidR="00000000" w:rsidRPr="00000000">
        <w:rPr>
          <w:sz w:val="24"/>
          <w:szCs w:val="24"/>
          <w:rtl w:val="0"/>
        </w:rPr>
        <w:t xml:space="preserve">Haenssgen, M. J., &amp; Ariana, P. (2022). The social implications of the digital transformation of health care for older people. The Lancet Digital Health, 4(8), e569-e572. https://doi.org/10.1016/S2589-7500(22)00115-5</w:t>
      </w:r>
      <w:r w:rsidDel="00000000" w:rsidR="00000000" w:rsidRPr="00000000">
        <w:rPr>
          <w:rtl w:val="0"/>
        </w:rPr>
      </w:r>
    </w:p>
    <w:p w:rsidR="00000000" w:rsidDel="00000000" w:rsidP="00000000" w:rsidRDefault="00000000" w:rsidRPr="00000000" w14:paraId="00000141">
      <w:pPr>
        <w:spacing w:after="160" w:before="80" w:lineRule="auto"/>
        <w:jc w:val="both"/>
        <w:rPr/>
      </w:pPr>
      <w:r w:rsidDel="00000000" w:rsidR="00000000" w:rsidRPr="00000000">
        <w:rPr>
          <w:sz w:val="24"/>
          <w:szCs w:val="24"/>
          <w:rtl w:val="0"/>
        </w:rPr>
        <w:t xml:space="preserve">Helsper, E. J. (2012). A Corresponding Fields Model for the Links Between Social and Digital Exclusion. Communication Theory, 22(4), 403-426. https://doi.org/10.1111/j.1468-2885.2012.01416.x</w:t>
      </w:r>
      <w:r w:rsidDel="00000000" w:rsidR="00000000" w:rsidRPr="00000000">
        <w:rPr>
          <w:rtl w:val="0"/>
        </w:rPr>
      </w:r>
    </w:p>
    <w:p w:rsidR="00000000" w:rsidDel="00000000" w:rsidP="00000000" w:rsidRDefault="00000000" w:rsidRPr="00000000" w14:paraId="00000142">
      <w:pPr>
        <w:spacing w:after="160" w:before="80" w:lineRule="auto"/>
        <w:jc w:val="both"/>
        <w:rPr/>
      </w:pPr>
      <w:r w:rsidDel="00000000" w:rsidR="00000000" w:rsidRPr="00000000">
        <w:rPr>
          <w:sz w:val="24"/>
          <w:szCs w:val="24"/>
          <w:rtl w:val="0"/>
        </w:rPr>
        <w:t xml:space="preserve">Helsper, E. J. (2021). The Digital Disconnect: The Social Causes and Consequences of Digital Inequalities. SAGE. [NUEVA REFERENCIA — Síntesis sobre interseccionalidad y brecha digital]</w:t>
      </w:r>
      <w:r w:rsidDel="00000000" w:rsidR="00000000" w:rsidRPr="00000000">
        <w:rPr>
          <w:rtl w:val="0"/>
        </w:rPr>
      </w:r>
    </w:p>
    <w:p w:rsidR="00000000" w:rsidDel="00000000" w:rsidP="00000000" w:rsidRDefault="00000000" w:rsidRPr="00000000" w14:paraId="00000143">
      <w:pPr>
        <w:spacing w:after="160" w:before="80" w:lineRule="auto"/>
        <w:jc w:val="both"/>
        <w:rPr/>
      </w:pPr>
      <w:r w:rsidDel="00000000" w:rsidR="00000000" w:rsidRPr="00000000">
        <w:rPr>
          <w:sz w:val="24"/>
          <w:szCs w:val="24"/>
          <w:rtl w:val="0"/>
        </w:rPr>
        <w:t xml:space="preserve">Instituto Nacional de Estadística (INE). (2024). Encuesta sobre Equipamiento y Uso de TIC en los Hogares. https://www.ine.es</w:t>
      </w:r>
      <w:r w:rsidDel="00000000" w:rsidR="00000000" w:rsidRPr="00000000">
        <w:rPr>
          <w:rtl w:val="0"/>
        </w:rPr>
      </w:r>
    </w:p>
    <w:p w:rsidR="00000000" w:rsidDel="00000000" w:rsidP="00000000" w:rsidRDefault="00000000" w:rsidRPr="00000000" w14:paraId="00000144">
      <w:pPr>
        <w:spacing w:after="160" w:before="80" w:lineRule="auto"/>
        <w:jc w:val="both"/>
        <w:rPr/>
      </w:pPr>
      <w:r w:rsidDel="00000000" w:rsidR="00000000" w:rsidRPr="00000000">
        <w:rPr>
          <w:sz w:val="24"/>
          <w:szCs w:val="24"/>
          <w:rtl w:val="0"/>
        </w:rPr>
        <w:t xml:space="preserve">INTEF. (2017). Marco Común de Competencia Digital Docente. Madrid: Ministerio de Educación, Cultura y Deporte.</w:t>
      </w:r>
      <w:r w:rsidDel="00000000" w:rsidR="00000000" w:rsidRPr="00000000">
        <w:rPr>
          <w:rtl w:val="0"/>
        </w:rPr>
      </w:r>
    </w:p>
    <w:p w:rsidR="00000000" w:rsidDel="00000000" w:rsidP="00000000" w:rsidRDefault="00000000" w:rsidRPr="00000000" w14:paraId="00000145">
      <w:pPr>
        <w:spacing w:after="160" w:before="80" w:lineRule="auto"/>
        <w:jc w:val="both"/>
        <w:rPr/>
      </w:pPr>
      <w:r w:rsidDel="00000000" w:rsidR="00000000" w:rsidRPr="00000000">
        <w:rPr>
          <w:sz w:val="24"/>
          <w:szCs w:val="24"/>
          <w:rtl w:val="0"/>
        </w:rPr>
        <w:t xml:space="preserve">Lloyd, A., &amp; Williamson, K. (2021). The information practices of older people: A review of the literature. Journal of Documentation, 77(2), 498-520. https://doi.org/10.1108/JD-04-2020-0058 [NUEVA REFERENCIA — Brecha digital de género en personas mayores]</w:t>
      </w:r>
      <w:r w:rsidDel="00000000" w:rsidR="00000000" w:rsidRPr="00000000">
        <w:rPr>
          <w:rtl w:val="0"/>
        </w:rPr>
      </w:r>
    </w:p>
    <w:p w:rsidR="00000000" w:rsidDel="00000000" w:rsidP="00000000" w:rsidRDefault="00000000" w:rsidRPr="00000000" w14:paraId="00000146">
      <w:pPr>
        <w:spacing w:after="160" w:before="80" w:lineRule="auto"/>
        <w:jc w:val="both"/>
        <w:rPr/>
      </w:pPr>
      <w:r w:rsidDel="00000000" w:rsidR="00000000" w:rsidRPr="00000000">
        <w:rPr>
          <w:sz w:val="24"/>
          <w:szCs w:val="24"/>
          <w:rtl w:val="0"/>
        </w:rPr>
        <w:t xml:space="preserve">Martínez-Cantos, J. L., &amp; Castaño, C. (2017). La brecha digital de género y la escasez de mujeres en las profesiones TIC. Panorama Social, 25, 49-65.</w:t>
      </w:r>
      <w:r w:rsidDel="00000000" w:rsidR="00000000" w:rsidRPr="00000000">
        <w:rPr>
          <w:rtl w:val="0"/>
        </w:rPr>
      </w:r>
    </w:p>
    <w:p w:rsidR="00000000" w:rsidDel="00000000" w:rsidP="00000000" w:rsidRDefault="00000000" w:rsidRPr="00000000" w14:paraId="00000147">
      <w:pPr>
        <w:spacing w:after="160" w:before="80" w:lineRule="auto"/>
        <w:jc w:val="both"/>
        <w:rPr/>
      </w:pPr>
      <w:r w:rsidDel="00000000" w:rsidR="00000000" w:rsidRPr="00000000">
        <w:rPr>
          <w:sz w:val="24"/>
          <w:szCs w:val="24"/>
          <w:rtl w:val="0"/>
        </w:rPr>
        <w:t xml:space="preserve">Niño-Cortés, L. M., et al. (2024). How does socioeconomic level influence the self-perception of digital competence of secondary school students in Spain? Edutec, (89), 174-189. https://doi.org/10.21556/edutec.2024.89.3025</w:t>
      </w:r>
      <w:r w:rsidDel="00000000" w:rsidR="00000000" w:rsidRPr="00000000">
        <w:rPr>
          <w:rtl w:val="0"/>
        </w:rPr>
      </w:r>
    </w:p>
    <w:p w:rsidR="00000000" w:rsidDel="00000000" w:rsidP="00000000" w:rsidRDefault="00000000" w:rsidRPr="00000000" w14:paraId="00000148">
      <w:pPr>
        <w:spacing w:after="160" w:before="80" w:lineRule="auto"/>
        <w:jc w:val="both"/>
        <w:rPr/>
      </w:pPr>
      <w:r w:rsidDel="00000000" w:rsidR="00000000" w:rsidRPr="00000000">
        <w:rPr>
          <w:sz w:val="24"/>
          <w:szCs w:val="24"/>
          <w:rtl w:val="0"/>
        </w:rPr>
        <w:t xml:space="preserve">Observatorio Nacional de Tecnología y Sociedad (ONTSI). (2024). Informe sobre la Sociedad Digital en España 2024. Ministerio para la Transformación Digital y de la Función Pública. https://www.ontsi.es/es/publicaciones</w:t>
      </w:r>
      <w:r w:rsidDel="00000000" w:rsidR="00000000" w:rsidRPr="00000000">
        <w:rPr>
          <w:rtl w:val="0"/>
        </w:rPr>
      </w:r>
    </w:p>
    <w:p w:rsidR="00000000" w:rsidDel="00000000" w:rsidP="00000000" w:rsidRDefault="00000000" w:rsidRPr="00000000" w14:paraId="00000149">
      <w:pPr>
        <w:spacing w:after="160" w:before="80" w:lineRule="auto"/>
        <w:jc w:val="both"/>
        <w:rPr/>
      </w:pPr>
      <w:r w:rsidDel="00000000" w:rsidR="00000000" w:rsidRPr="00000000">
        <w:rPr>
          <w:sz w:val="24"/>
          <w:szCs w:val="24"/>
          <w:rtl w:val="0"/>
        </w:rPr>
        <w:t xml:space="preserve">Ostrom, E. (1990). Governing the Commons: The Evolution of Institutions for Collective Action. Cambridge University Press.</w:t>
      </w:r>
      <w:r w:rsidDel="00000000" w:rsidR="00000000" w:rsidRPr="00000000">
        <w:rPr>
          <w:rtl w:val="0"/>
        </w:rPr>
      </w:r>
    </w:p>
    <w:p w:rsidR="00000000" w:rsidDel="00000000" w:rsidP="00000000" w:rsidRDefault="00000000" w:rsidRPr="00000000" w14:paraId="0000014A">
      <w:pPr>
        <w:spacing w:after="160" w:before="80" w:lineRule="auto"/>
        <w:jc w:val="both"/>
        <w:rPr/>
      </w:pPr>
      <w:r w:rsidDel="00000000" w:rsidR="00000000" w:rsidRPr="00000000">
        <w:rPr>
          <w:sz w:val="24"/>
          <w:szCs w:val="24"/>
          <w:rtl w:val="0"/>
        </w:rPr>
        <w:t xml:space="preserve">Pietro, G. (2021). Universal basic services: A new paradigm for social policy? Journal of Social Policy, 50(4), 724-742. https://doi.org/10.1017/S0047279420000685</w:t>
      </w:r>
      <w:r w:rsidDel="00000000" w:rsidR="00000000" w:rsidRPr="00000000">
        <w:rPr>
          <w:rtl w:val="0"/>
        </w:rPr>
      </w:r>
    </w:p>
    <w:p w:rsidR="00000000" w:rsidDel="00000000" w:rsidP="00000000" w:rsidRDefault="00000000" w:rsidRPr="00000000" w14:paraId="0000014B">
      <w:pPr>
        <w:spacing w:after="160" w:before="80" w:lineRule="auto"/>
        <w:jc w:val="both"/>
        <w:rPr/>
      </w:pPr>
      <w:r w:rsidDel="00000000" w:rsidR="00000000" w:rsidRPr="00000000">
        <w:rPr>
          <w:sz w:val="24"/>
          <w:szCs w:val="24"/>
          <w:rtl w:val="0"/>
        </w:rPr>
        <w:t xml:space="preserve">Robinson, L., et al. (2020). Digital inequalities in the age of artificial intelligence and big data. New Media &amp; Society, 22(6), 1013-1029. https://doi.org/10.1177/1461444820904259 [NUEVA REFERENCIA — Interseccionalidad digital en la era de la IA]</w:t>
      </w:r>
      <w:r w:rsidDel="00000000" w:rsidR="00000000" w:rsidRPr="00000000">
        <w:rPr>
          <w:rtl w:val="0"/>
        </w:rPr>
      </w:r>
    </w:p>
    <w:p w:rsidR="00000000" w:rsidDel="00000000" w:rsidP="00000000" w:rsidRDefault="00000000" w:rsidRPr="00000000" w14:paraId="0000014C">
      <w:pPr>
        <w:spacing w:after="160" w:before="80" w:lineRule="auto"/>
        <w:jc w:val="both"/>
        <w:rPr/>
      </w:pPr>
      <w:r w:rsidDel="00000000" w:rsidR="00000000" w:rsidRPr="00000000">
        <w:rPr>
          <w:sz w:val="24"/>
          <w:szCs w:val="24"/>
          <w:rtl w:val="0"/>
        </w:rPr>
        <w:t xml:space="preserve">Stefano De Marco, Daniel Sorando, et al. (2021-2025). Digital Inequality and job opportunities: studying online platforms for job search in Spain. DiSTO Project, London School of Economics. https://www.lse.ac.uk/disto</w:t>
      </w:r>
      <w:r w:rsidDel="00000000" w:rsidR="00000000" w:rsidRPr="00000000">
        <w:rPr>
          <w:rtl w:val="0"/>
        </w:rPr>
      </w:r>
    </w:p>
    <w:p w:rsidR="00000000" w:rsidDel="00000000" w:rsidP="00000000" w:rsidRDefault="00000000" w:rsidRPr="00000000" w14:paraId="0000014D">
      <w:pPr>
        <w:spacing w:after="160" w:before="80" w:lineRule="auto"/>
        <w:jc w:val="both"/>
        <w:rPr/>
      </w:pPr>
      <w:r w:rsidDel="00000000" w:rsidR="00000000" w:rsidRPr="00000000">
        <w:rPr>
          <w:sz w:val="24"/>
          <w:szCs w:val="24"/>
          <w:rtl w:val="0"/>
        </w:rPr>
        <w:t xml:space="preserve">Tennant, J. P., et al. (2020). The academic, economic and societal impacts of Open Access: An evidence-based review. F1000Research, 8, 632. https://doi.org/10.12688/f1000research.19792.2</w:t>
      </w:r>
      <w:r w:rsidDel="00000000" w:rsidR="00000000" w:rsidRPr="00000000">
        <w:rPr>
          <w:rtl w:val="0"/>
        </w:rPr>
      </w:r>
    </w:p>
    <w:p w:rsidR="00000000" w:rsidDel="00000000" w:rsidP="00000000" w:rsidRDefault="00000000" w:rsidRPr="00000000" w14:paraId="0000014E">
      <w:pPr>
        <w:spacing w:after="160" w:before="80" w:lineRule="auto"/>
        <w:jc w:val="both"/>
        <w:rPr/>
      </w:pPr>
      <w:r w:rsidDel="00000000" w:rsidR="00000000" w:rsidRPr="00000000">
        <w:rPr>
          <w:sz w:val="24"/>
          <w:szCs w:val="24"/>
          <w:rtl w:val="0"/>
        </w:rPr>
        <w:t xml:space="preserve">UNESCO. (2023). Global Education Monitoring Report: Technology in education — A tool on whose terms? París: UNESCO. [NUEVA REFERENCIA — Datos sobre brecha de género en educación digital]</w:t>
      </w:r>
      <w:r w:rsidDel="00000000" w:rsidR="00000000" w:rsidRPr="00000000">
        <w:rPr>
          <w:rtl w:val="0"/>
        </w:rPr>
      </w:r>
    </w:p>
    <w:p w:rsidR="00000000" w:rsidDel="00000000" w:rsidP="00000000" w:rsidRDefault="00000000" w:rsidRPr="00000000" w14:paraId="0000014F">
      <w:pPr>
        <w:spacing w:after="160" w:before="80" w:lineRule="auto"/>
        <w:jc w:val="both"/>
        <w:rPr/>
      </w:pPr>
      <w:r w:rsidDel="00000000" w:rsidR="00000000" w:rsidRPr="00000000">
        <w:rPr>
          <w:sz w:val="24"/>
          <w:szCs w:val="24"/>
          <w:rtl w:val="0"/>
        </w:rPr>
        <w:t xml:space="preserve">UNESCO. (2023). Recomendación sobre la Ciencia Abierta. París: UNESCO. https://unesdoc.unesco.org/ark:/48223/pf0000379949_spa</w:t>
      </w:r>
      <w:r w:rsidDel="00000000" w:rsidR="00000000" w:rsidRPr="00000000">
        <w:rPr>
          <w:rtl w:val="0"/>
        </w:rPr>
      </w:r>
    </w:p>
    <w:p w:rsidR="00000000" w:rsidDel="00000000" w:rsidP="00000000" w:rsidRDefault="00000000" w:rsidRPr="00000000" w14:paraId="00000150">
      <w:pPr>
        <w:spacing w:after="160" w:before="80" w:lineRule="auto"/>
        <w:jc w:val="both"/>
        <w:rPr/>
      </w:pPr>
      <w:r w:rsidDel="00000000" w:rsidR="00000000" w:rsidRPr="00000000">
        <w:rPr>
          <w:sz w:val="24"/>
          <w:szCs w:val="24"/>
          <w:rtl w:val="0"/>
        </w:rPr>
        <w:t xml:space="preserve">UNED. (2022). La brecha digital como factor de exclusión social: Situación actual en España. Cuestiones pedagógicas, (31), 103-128. https://doi.org/10.12795/CP.2022.i31.v1.06</w:t>
      </w:r>
      <w:r w:rsidDel="00000000" w:rsidR="00000000" w:rsidRPr="00000000">
        <w:rPr>
          <w:rtl w:val="0"/>
        </w:rPr>
      </w:r>
    </w:p>
    <w:p w:rsidR="00000000" w:rsidDel="00000000" w:rsidP="00000000" w:rsidRDefault="00000000" w:rsidRPr="00000000" w14:paraId="00000151">
      <w:pPr>
        <w:spacing w:after="160" w:before="80" w:lineRule="auto"/>
        <w:jc w:val="both"/>
        <w:rPr/>
      </w:pPr>
      <w:r w:rsidDel="00000000" w:rsidR="00000000" w:rsidRPr="00000000">
        <w:rPr>
          <w:sz w:val="24"/>
          <w:szCs w:val="24"/>
          <w:rtl w:val="0"/>
        </w:rPr>
        <w:t xml:space="preserve">Van Deursen, A. J., &amp; Helsper, E. J. (2015). The third-level digital divide: Who benefits most from being online? Communication and Information Technologies Annual, 10, 29-52. DOI: 10.1108/S2050-206020150000010002. [NUEVA REFERENCIA — Tercer nivel de brecha digital y resultados diferenciados]</w:t>
      </w:r>
      <w:r w:rsidDel="00000000" w:rsidR="00000000" w:rsidRPr="00000000">
        <w:rPr>
          <w:rtl w:val="0"/>
        </w:rPr>
      </w:r>
    </w:p>
    <w:p w:rsidR="00000000" w:rsidDel="00000000" w:rsidP="00000000" w:rsidRDefault="00000000" w:rsidRPr="00000000" w14:paraId="00000152">
      <w:pPr>
        <w:spacing w:after="160" w:before="80" w:lineRule="auto"/>
        <w:jc w:val="both"/>
        <w:rPr/>
      </w:pPr>
      <w:r w:rsidDel="00000000" w:rsidR="00000000" w:rsidRPr="00000000">
        <w:rPr>
          <w:sz w:val="24"/>
          <w:szCs w:val="24"/>
          <w:rtl w:val="0"/>
        </w:rPr>
        <w:t xml:space="preserve">van Deursen, A. J., &amp; Helsper, E. J. (2022). The third-level digital divide: A longitudinal study of internet skills and outcomes. Social Science Computer Review, 40(3), 611-627. https://doi.org/10.1177/0894439320933687</w:t>
      </w:r>
      <w:r w:rsidDel="00000000" w:rsidR="00000000" w:rsidRPr="00000000">
        <w:rPr>
          <w:rtl w:val="0"/>
        </w:rPr>
      </w:r>
    </w:p>
    <w:p w:rsidR="00000000" w:rsidDel="00000000" w:rsidP="00000000" w:rsidRDefault="00000000" w:rsidRPr="00000000" w14:paraId="00000153">
      <w:pPr>
        <w:spacing w:after="160" w:before="80" w:lineRule="auto"/>
        <w:jc w:val="both"/>
        <w:rPr/>
      </w:pPr>
      <w:r w:rsidDel="00000000" w:rsidR="00000000" w:rsidRPr="00000000">
        <w:rPr>
          <w:sz w:val="24"/>
          <w:szCs w:val="24"/>
          <w:rtl w:val="0"/>
        </w:rPr>
        <w:t xml:space="preserve">Wajcman, J. (2004). TechnoFeminism. Polity Press. [NUEVA REFERENCIA — Marco teórico sobre género y tecnología]</w:t>
      </w: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Documentos normativos e institucionales</w:t>
      </w:r>
    </w:p>
    <w:p w:rsidR="00000000" w:rsidDel="00000000" w:rsidP="00000000" w:rsidRDefault="00000000" w:rsidRPr="00000000" w14:paraId="00000155">
      <w:pPr>
        <w:spacing w:after="160" w:before="80" w:lineRule="auto"/>
        <w:jc w:val="both"/>
        <w:rPr/>
      </w:pPr>
      <w:r w:rsidDel="00000000" w:rsidR="00000000" w:rsidRPr="00000000">
        <w:rPr>
          <w:sz w:val="24"/>
          <w:szCs w:val="24"/>
          <w:rtl w:val="0"/>
        </w:rPr>
        <w:t xml:space="preserve">Boletín Oficial del Estado (BOE). (2011). Real Decreto 726/2011, de 20 de mayo. https://www.boe.es/eli/es/rd/2011/05/20/726</w:t>
      </w:r>
      <w:r w:rsidDel="00000000" w:rsidR="00000000" w:rsidRPr="00000000">
        <w:rPr>
          <w:rtl w:val="0"/>
        </w:rPr>
      </w:r>
    </w:p>
    <w:p w:rsidR="00000000" w:rsidDel="00000000" w:rsidP="00000000" w:rsidRDefault="00000000" w:rsidRPr="00000000" w14:paraId="00000156">
      <w:pPr>
        <w:spacing w:after="160" w:before="80" w:lineRule="auto"/>
        <w:jc w:val="both"/>
        <w:rPr/>
      </w:pPr>
      <w:r w:rsidDel="00000000" w:rsidR="00000000" w:rsidRPr="00000000">
        <w:rPr>
          <w:sz w:val="24"/>
          <w:szCs w:val="24"/>
          <w:rtl w:val="0"/>
        </w:rPr>
        <w:t xml:space="preserve">Boletín Oficial del Estado (BOE). (2020). Real Decreto-ley 20/2020, de 29 de mayo, por el que se establece el ingreso mínimo vital. https://www.boe.es/eli/es/rdl/2020/05/29/20</w:t>
      </w:r>
      <w:r w:rsidDel="00000000" w:rsidR="00000000" w:rsidRPr="00000000">
        <w:rPr>
          <w:rtl w:val="0"/>
        </w:rPr>
      </w:r>
    </w:p>
    <w:p w:rsidR="00000000" w:rsidDel="00000000" w:rsidP="00000000" w:rsidRDefault="00000000" w:rsidRPr="00000000" w14:paraId="00000157">
      <w:pPr>
        <w:spacing w:after="160" w:before="80" w:lineRule="auto"/>
        <w:jc w:val="both"/>
        <w:rPr/>
      </w:pPr>
      <w:r w:rsidDel="00000000" w:rsidR="00000000" w:rsidRPr="00000000">
        <w:rPr>
          <w:sz w:val="24"/>
          <w:szCs w:val="24"/>
          <w:rtl w:val="0"/>
        </w:rPr>
        <w:t xml:space="preserve">Boletín Oficial del Estado (BOE). (2022). Ley 11/2022, de 28 de junio, General de Telecomunicaciones. https://www.boe.es/eli/es/l/2022/06/28/11</w:t>
      </w:r>
      <w:r w:rsidDel="00000000" w:rsidR="00000000" w:rsidRPr="00000000">
        <w:rPr>
          <w:rtl w:val="0"/>
        </w:rPr>
      </w:r>
    </w:p>
    <w:p w:rsidR="00000000" w:rsidDel="00000000" w:rsidP="00000000" w:rsidRDefault="00000000" w:rsidRPr="00000000" w14:paraId="00000158">
      <w:pPr>
        <w:spacing w:after="160" w:before="80" w:lineRule="auto"/>
        <w:jc w:val="both"/>
        <w:rPr/>
      </w:pPr>
      <w:r w:rsidDel="00000000" w:rsidR="00000000" w:rsidRPr="00000000">
        <w:rPr>
          <w:sz w:val="24"/>
          <w:szCs w:val="24"/>
          <w:rtl w:val="0"/>
        </w:rPr>
        <w:t xml:space="preserve">Comisión Europea. (2021). Decisión de Ejecución relativa a la aprobación del Plan de Recuperación, Transformación y Resiliencia de España. https://ec.europa.eu/recovery-and-resilience-facility/</w:t>
      </w:r>
      <w:r w:rsidDel="00000000" w:rsidR="00000000" w:rsidRPr="00000000">
        <w:rPr>
          <w:rtl w:val="0"/>
        </w:rPr>
      </w:r>
    </w:p>
    <w:p w:rsidR="00000000" w:rsidDel="00000000" w:rsidP="00000000" w:rsidRDefault="00000000" w:rsidRPr="00000000" w14:paraId="00000159">
      <w:pPr>
        <w:spacing w:after="160" w:before="80" w:lineRule="auto"/>
        <w:jc w:val="both"/>
        <w:rPr/>
      </w:pPr>
      <w:r w:rsidDel="00000000" w:rsidR="00000000" w:rsidRPr="00000000">
        <w:rPr>
          <w:sz w:val="24"/>
          <w:szCs w:val="24"/>
          <w:rtl w:val="0"/>
        </w:rPr>
        <w:t xml:space="preserve">Comité de los Derechos del Niño. (2021). Observación General N.º 25 sobre los derechos de la infancia en relación con el entorno digital. CRC/C/GC/25. https://www.ohchr.org</w:t>
      </w:r>
      <w:r w:rsidDel="00000000" w:rsidR="00000000" w:rsidRPr="00000000">
        <w:rPr>
          <w:rtl w:val="0"/>
        </w:rPr>
      </w:r>
    </w:p>
    <w:p w:rsidR="00000000" w:rsidDel="00000000" w:rsidP="00000000" w:rsidRDefault="00000000" w:rsidRPr="00000000" w14:paraId="0000015A">
      <w:pPr>
        <w:spacing w:after="160" w:before="80" w:lineRule="auto"/>
        <w:jc w:val="both"/>
        <w:rPr/>
      </w:pPr>
      <w:r w:rsidDel="00000000" w:rsidR="00000000" w:rsidRPr="00000000">
        <w:rPr>
          <w:sz w:val="24"/>
          <w:szCs w:val="24"/>
          <w:rtl w:val="0"/>
        </w:rPr>
        <w:t xml:space="preserve">Consejería de Digitalización, Comunidad de Madrid. (2026, 3 de marzo). Orden 37/2026. BOCM. https://www.bocm.es</w:t>
      </w:r>
      <w:r w:rsidDel="00000000" w:rsidR="00000000" w:rsidRPr="00000000">
        <w:rPr>
          <w:rtl w:val="0"/>
        </w:rPr>
      </w:r>
    </w:p>
    <w:p w:rsidR="00000000" w:rsidDel="00000000" w:rsidP="00000000" w:rsidRDefault="00000000" w:rsidRPr="00000000" w14:paraId="0000015B">
      <w:pPr>
        <w:spacing w:after="160" w:before="80" w:lineRule="auto"/>
        <w:jc w:val="both"/>
        <w:rPr/>
      </w:pPr>
      <w:r w:rsidDel="00000000" w:rsidR="00000000" w:rsidRPr="00000000">
        <w:rPr>
          <w:sz w:val="24"/>
          <w:szCs w:val="24"/>
          <w:rtl w:val="0"/>
        </w:rPr>
        <w:t xml:space="preserve">Ministerio para la Transformación Digital y de la Función Pública. (2025, 20 de marzo). El ministro acuerda con las CCAA prolongar el programa de formación en competencias digitales. https://www.digitalizacion.gob.es/</w:t>
      </w:r>
      <w:r w:rsidDel="00000000" w:rsidR="00000000" w:rsidRPr="00000000">
        <w:rPr>
          <w:rtl w:val="0"/>
        </w:rPr>
      </w:r>
    </w:p>
    <w:p w:rsidR="00000000" w:rsidDel="00000000" w:rsidP="00000000" w:rsidRDefault="00000000" w:rsidRPr="00000000" w14:paraId="0000015C">
      <w:pPr>
        <w:spacing w:after="160" w:before="80" w:lineRule="auto"/>
        <w:jc w:val="both"/>
        <w:rPr/>
      </w:pPr>
      <w:r w:rsidDel="00000000" w:rsidR="00000000" w:rsidRPr="00000000">
        <w:rPr>
          <w:sz w:val="24"/>
          <w:szCs w:val="24"/>
          <w:rtl w:val="0"/>
        </w:rPr>
        <w:t xml:space="preserve">Parlamento Europeo y Consejo de la UE. (2002). Directiva 2002/22/CE. DOCE L 108. https://eur-lex.europa.eu</w:t>
      </w:r>
      <w:r w:rsidDel="00000000" w:rsidR="00000000" w:rsidRPr="00000000">
        <w:rPr>
          <w:rtl w:val="0"/>
        </w:rPr>
      </w:r>
    </w:p>
    <w:p w:rsidR="00000000" w:rsidDel="00000000" w:rsidP="00000000" w:rsidRDefault="00000000" w:rsidRPr="00000000" w14:paraId="0000015D">
      <w:pPr>
        <w:spacing w:after="160" w:before="80" w:lineRule="auto"/>
        <w:jc w:val="both"/>
        <w:rPr/>
      </w:pPr>
      <w:r w:rsidDel="00000000" w:rsidR="00000000" w:rsidRPr="00000000">
        <w:rPr>
          <w:sz w:val="24"/>
          <w:szCs w:val="24"/>
          <w:rtl w:val="0"/>
        </w:rPr>
        <w:t xml:space="preserve">Parlamento Europeo y Consejo de la UE. (2018). Directiva (UE) 2018/1972. DOUE L 321. https://eur-lex.europa.eu</w:t>
      </w: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pPr>
      <w:r w:rsidDel="00000000" w:rsidR="00000000" w:rsidRPr="00000000">
        <w:rPr>
          <w:rtl w:val="0"/>
        </w:rPr>
        <w:t xml:space="preserve">APÉNDICE B. TABLAS DE REFERENCIA</w:t>
      </w:r>
    </w:p>
    <w:p w:rsidR="00000000" w:rsidDel="00000000" w:rsidP="00000000" w:rsidRDefault="00000000" w:rsidRPr="00000000" w14:paraId="00000160">
      <w:pPr>
        <w:pStyle w:val="Heading2"/>
        <w:rPr/>
      </w:pPr>
      <w:r w:rsidDel="00000000" w:rsidR="00000000" w:rsidRPr="00000000">
        <w:rPr>
          <w:rtl w:val="0"/>
        </w:rPr>
        <w:t xml:space="preserve">Tabla B.1. Penetración de telefonía móvil e internet en mayores por género (España, 2024)</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126"/>
        <w:gridCol w:w="1100"/>
        <w:gridCol w:w="1100"/>
        <w:gridCol w:w="1100"/>
        <w:gridCol w:w="1100"/>
        <w:gridCol w:w="1000"/>
        <w:tblGridChange w:id="0">
          <w:tblGrid>
            <w:gridCol w:w="2500"/>
            <w:gridCol w:w="1126"/>
            <w:gridCol w:w="1100"/>
            <w:gridCol w:w="1100"/>
            <w:gridCol w:w="1100"/>
            <w:gridCol w:w="1100"/>
            <w:gridCol w:w="1000"/>
          </w:tblGrid>
        </w:tblGridChange>
      </w:tblGrid>
      <w:tr>
        <w:trPr>
          <w:cantSplit w:val="0"/>
          <w:tblHeader w:val="0"/>
        </w:trPr>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b w:val="1"/>
                <w:bCs w:val="1"/>
                <w:color w:val="ffffff"/>
                <w:sz w:val="20"/>
                <w:szCs w:val="20"/>
                <w:rtl w:val="0"/>
              </w:rPr>
              <w:t xml:space="preserve">Indicador</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b w:val="1"/>
                <w:bCs w:val="1"/>
                <w:color w:val="ffffff"/>
                <w:sz w:val="20"/>
                <w:szCs w:val="20"/>
                <w:rtl w:val="0"/>
              </w:rPr>
              <w:t xml:space="preserve">Hombres 65-74</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b w:val="1"/>
                <w:bCs w:val="1"/>
                <w:color w:val="ffffff"/>
                <w:sz w:val="20"/>
                <w:szCs w:val="20"/>
                <w:rtl w:val="0"/>
              </w:rPr>
              <w:t xml:space="preserve">Mujeres 65-74</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b w:val="1"/>
                <w:bCs w:val="1"/>
                <w:color w:val="ffffff"/>
                <w:sz w:val="20"/>
                <w:szCs w:val="20"/>
                <w:rtl w:val="0"/>
              </w:rPr>
              <w:t xml:space="preserve">Hombres 75+</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b w:val="1"/>
                <w:bCs w:val="1"/>
                <w:color w:val="ffffff"/>
                <w:sz w:val="20"/>
                <w:szCs w:val="20"/>
                <w:rtl w:val="0"/>
              </w:rPr>
              <w:t xml:space="preserve">Mujeres 75+</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b w:val="1"/>
                <w:bCs w:val="1"/>
                <w:color w:val="ffffff"/>
                <w:sz w:val="20"/>
                <w:szCs w:val="20"/>
                <w:rtl w:val="0"/>
              </w:rPr>
              <w:t xml:space="preserve">Total ≥65 H</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b w:val="1"/>
                <w:bCs w:val="1"/>
                <w:color w:val="ffffff"/>
                <w:sz w:val="20"/>
                <w:szCs w:val="20"/>
                <w:rtl w:val="0"/>
              </w:rPr>
              <w:t xml:space="preserve">Total ≥65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b w:val="0"/>
                <w:bCs w:val="0"/>
                <w:color w:val="000000"/>
                <w:sz w:val="20"/>
                <w:szCs w:val="20"/>
                <w:rtl w:val="0"/>
              </w:rPr>
              <w:t xml:space="preserve">Tiene móvil (cualquier 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b w:val="0"/>
                <w:bCs w:val="0"/>
                <w:color w:val="000000"/>
                <w:sz w:val="20"/>
                <w:szCs w:val="20"/>
                <w:rtl w:val="0"/>
              </w:rPr>
              <w:t xml:space="preserve">94,3%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b w:val="0"/>
                <w:bCs w:val="0"/>
                <w:color w:val="000000"/>
                <w:sz w:val="20"/>
                <w:szCs w:val="20"/>
                <w:rtl w:val="0"/>
              </w:rPr>
              <w:t xml:space="preserve">88,7%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b w:val="0"/>
                <w:bCs w:val="0"/>
                <w:color w:val="000000"/>
                <w:sz w:val="20"/>
                <w:szCs w:val="20"/>
                <w:rtl w:val="0"/>
              </w:rPr>
              <w:t xml:space="preserve">83,2%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b w:val="0"/>
                <w:bCs w:val="0"/>
                <w:color w:val="000000"/>
                <w:sz w:val="20"/>
                <w:szCs w:val="20"/>
                <w:rtl w:val="0"/>
              </w:rPr>
              <w:t xml:space="preserve">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b w:val="0"/>
                <w:bCs w:val="0"/>
                <w:color w:val="000000"/>
                <w:sz w:val="20"/>
                <w:szCs w:val="20"/>
                <w:rtl w:val="0"/>
              </w:rPr>
              <w:t xml:space="preserve">89,8%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b w:val="0"/>
                <w:bCs w:val="0"/>
                <w:color w:val="000000"/>
                <w:sz w:val="20"/>
                <w:szCs w:val="20"/>
                <w:rtl w:val="0"/>
              </w:rPr>
              <w:t xml:space="preserve">82,7%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0"/>
                <w:bCs w:val="0"/>
                <w:color w:val="000000"/>
                <w:sz w:val="20"/>
                <w:szCs w:val="20"/>
                <w:rtl w:val="0"/>
              </w:rPr>
              <w:t xml:space="preserve">Tiene smartphone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b w:val="0"/>
                <w:bCs w:val="0"/>
                <w:color w:val="000000"/>
                <w:sz w:val="20"/>
                <w:szCs w:val="20"/>
                <w:rtl w:val="0"/>
              </w:rPr>
              <w:t xml:space="preserve">70,2%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b w:val="0"/>
                <w:bCs w:val="0"/>
                <w:color w:val="000000"/>
                <w:sz w:val="20"/>
                <w:szCs w:val="20"/>
                <w:rtl w:val="0"/>
              </w:rPr>
              <w:t xml:space="preserve">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0"/>
                <w:bCs w:val="0"/>
                <w:color w:val="000000"/>
                <w:sz w:val="20"/>
                <w:szCs w:val="20"/>
                <w:rtl w:val="0"/>
              </w:rPr>
              <w:t xml:space="preserve">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b w:val="0"/>
                <w:bCs w:val="0"/>
                <w:color w:val="000000"/>
                <w:sz w:val="20"/>
                <w:szCs w:val="20"/>
                <w:rtl w:val="0"/>
              </w:rPr>
              <w:t xml:space="preserve">22,7%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0"/>
                <w:bCs w:val="0"/>
                <w:color w:val="000000"/>
                <w:sz w:val="20"/>
                <w:szCs w:val="20"/>
                <w:rtl w:val="0"/>
              </w:rPr>
              <w:t xml:space="preserve">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b w:val="0"/>
                <w:bCs w:val="0"/>
                <w:color w:val="000000"/>
                <w:sz w:val="20"/>
                <w:szCs w:val="20"/>
                <w:rtl w:val="0"/>
              </w:rPr>
              <w:t xml:space="preserve">44,8%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b w:val="0"/>
                <w:bCs w:val="0"/>
                <w:color w:val="000000"/>
                <w:sz w:val="20"/>
                <w:szCs w:val="20"/>
                <w:rtl w:val="0"/>
              </w:rPr>
              <w:t xml:space="preserve">Usa internet (últimos 3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b w:val="0"/>
                <w:bCs w:val="0"/>
                <w:color w:val="000000"/>
                <w:sz w:val="20"/>
                <w:szCs w:val="20"/>
                <w:rtl w:val="0"/>
              </w:rPr>
              <w:t xml:space="preserve">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b w:val="0"/>
                <w:bCs w:val="0"/>
                <w:color w:val="000000"/>
                <w:sz w:val="20"/>
                <w:szCs w:val="20"/>
                <w:rtl w:val="0"/>
              </w:rPr>
              <w:t xml:space="preserve">62,3%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b w:val="0"/>
                <w:bCs w:val="0"/>
                <w:color w:val="000000"/>
                <w:sz w:val="20"/>
                <w:szCs w:val="20"/>
                <w:rtl w:val="0"/>
              </w:rPr>
              <w:t xml:space="preserve">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0"/>
                <w:bCs w:val="0"/>
                <w:color w:val="000000"/>
                <w:sz w:val="20"/>
                <w:szCs w:val="20"/>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b w:val="0"/>
                <w:bCs w:val="0"/>
                <w:color w:val="000000"/>
                <w:sz w:val="20"/>
                <w:szCs w:val="20"/>
                <w:rtl w:val="0"/>
              </w:rPr>
              <w:t xml:space="preserve">59,7%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b w:val="0"/>
                <w:bCs w:val="0"/>
                <w:color w:val="000000"/>
                <w:sz w:val="20"/>
                <w:szCs w:val="20"/>
                <w:rtl w:val="0"/>
              </w:rPr>
              <w:t xml:space="preserve">48,9%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b w:val="0"/>
                <w:bCs w:val="0"/>
                <w:color w:val="000000"/>
                <w:sz w:val="20"/>
                <w:szCs w:val="20"/>
                <w:rtl w:val="0"/>
              </w:rPr>
              <w:t xml:space="preserve">Usa cita médica online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b w:val="0"/>
                <w:bCs w:val="0"/>
                <w:color w:val="000000"/>
                <w:sz w:val="20"/>
                <w:szCs w:val="20"/>
                <w:rtl w:val="0"/>
              </w:rPr>
              <w:t xml:space="preserve">35,4%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b w:val="0"/>
                <w:bCs w:val="0"/>
                <w:color w:val="000000"/>
                <w:sz w:val="20"/>
                <w:szCs w:val="20"/>
                <w:rtl w:val="0"/>
              </w:rPr>
              <w:t xml:space="preserve">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b w:val="0"/>
                <w:bCs w:val="0"/>
                <w:color w:val="000000"/>
                <w:sz w:val="20"/>
                <w:szCs w:val="20"/>
                <w:rtl w:val="0"/>
              </w:rPr>
              <w:t xml:space="preserve">15,8%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b w:val="0"/>
                <w:bCs w:val="0"/>
                <w:color w:val="000000"/>
                <w:sz w:val="20"/>
                <w:szCs w:val="20"/>
                <w:rtl w:val="0"/>
              </w:rPr>
              <w:t xml:space="preserve">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b w:val="0"/>
                <w:bCs w:val="0"/>
                <w:color w:val="000000"/>
                <w:sz w:val="20"/>
                <w:szCs w:val="20"/>
                <w:rtl w:val="0"/>
              </w:rPr>
              <w:t xml:space="preserve">27,2%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b w:val="0"/>
                <w:bCs w:val="0"/>
                <w:color w:val="000000"/>
                <w:sz w:val="20"/>
                <w:szCs w:val="20"/>
                <w:rtl w:val="0"/>
              </w:rPr>
              <w:t xml:space="preserve">19,7%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b w:val="0"/>
                <w:bCs w:val="0"/>
                <w:color w:val="000000"/>
                <w:sz w:val="20"/>
                <w:szCs w:val="20"/>
                <w:rtl w:val="0"/>
              </w:rPr>
              <w:t xml:space="preserve">Usa banca online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b w:val="0"/>
                <w:bCs w:val="0"/>
                <w:color w:val="000000"/>
                <w:sz w:val="20"/>
                <w:szCs w:val="20"/>
                <w:rtl w:val="0"/>
              </w:rPr>
              <w:t xml:space="preserve">44,2%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b w:val="0"/>
                <w:bCs w:val="0"/>
                <w:color w:val="000000"/>
                <w:sz w:val="20"/>
                <w:szCs w:val="20"/>
                <w:rtl w:val="0"/>
              </w:rPr>
              <w:t xml:space="preserve">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b w:val="0"/>
                <w:bCs w:val="0"/>
                <w:color w:val="000000"/>
                <w:sz w:val="20"/>
                <w:szCs w:val="20"/>
                <w:rtl w:val="0"/>
              </w:rPr>
              <w:t xml:space="preserve">18,9%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b w:val="0"/>
                <w:bCs w:val="0"/>
                <w:color w:val="000000"/>
                <w:sz w:val="20"/>
                <w:szCs w:val="20"/>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b w:val="0"/>
                <w:bCs w:val="0"/>
                <w:color w:val="000000"/>
                <w:sz w:val="20"/>
                <w:szCs w:val="20"/>
                <w:rtl w:val="0"/>
              </w:rPr>
              <w:t xml:space="preserve">34,1%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b w:val="0"/>
                <w:bCs w:val="0"/>
                <w:color w:val="000000"/>
                <w:sz w:val="20"/>
                <w:szCs w:val="20"/>
                <w:rtl w:val="0"/>
              </w:rPr>
              <w:t xml:space="preserve">23,4%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b w:val="0"/>
                <w:bCs w:val="0"/>
                <w:color w:val="000000"/>
                <w:sz w:val="20"/>
                <w:szCs w:val="20"/>
                <w:rtl w:val="0"/>
              </w:rPr>
              <w:t xml:space="preserve">Ha recibido formación digital en el último 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b w:val="0"/>
                <w:bCs w:val="0"/>
                <w:color w:val="000000"/>
                <w:sz w:val="20"/>
                <w:szCs w:val="20"/>
                <w:rtl w:val="0"/>
              </w:rPr>
              <w:t xml:space="preserve">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b w:val="0"/>
                <w:bCs w:val="0"/>
                <w:color w:val="000000"/>
                <w:sz w:val="20"/>
                <w:szCs w:val="20"/>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b w:val="0"/>
                <w:bCs w:val="0"/>
                <w:color w:val="000000"/>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b w:val="0"/>
                <w:bCs w:val="0"/>
                <w:color w:val="000000"/>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b w:val="0"/>
                <w:bCs w:val="0"/>
                <w:color w:val="000000"/>
                <w:sz w:val="20"/>
                <w:szCs w:val="20"/>
                <w:rtl w:val="0"/>
              </w:rPr>
              <w:t xml:space="preserve">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b w:val="0"/>
                <w:bCs w:val="0"/>
                <w:color w:val="000000"/>
                <w:sz w:val="20"/>
                <w:szCs w:val="20"/>
                <w:rtl w:val="0"/>
              </w:rPr>
              <w:t xml:space="preserve">5,1%</w:t>
            </w:r>
            <w:r w:rsidDel="00000000" w:rsidR="00000000" w:rsidRPr="00000000">
              <w:rPr>
                <w:rtl w:val="0"/>
              </w:rPr>
            </w:r>
          </w:p>
        </w:tc>
      </w:tr>
    </w:tbl>
    <w:p w:rsidR="00000000" w:rsidDel="00000000" w:rsidP="00000000" w:rsidRDefault="00000000" w:rsidRPr="00000000" w14:paraId="00000192">
      <w:pPr>
        <w:spacing w:after="240" w:before="80" w:lineRule="auto"/>
        <w:rPr/>
      </w:pPr>
      <w:r w:rsidDel="00000000" w:rsidR="00000000" w:rsidRPr="00000000">
        <w:rPr>
          <w:i w:val="1"/>
          <w:iCs w:val="1"/>
          <w:sz w:val="20"/>
          <w:szCs w:val="20"/>
          <w:rtl w:val="0"/>
        </w:rPr>
        <w:t xml:space="preserve">Fuente: INE, Encuesta TIC Hogares 2024; ONTSI (2024). Elaboración propia.</w:t>
      </w: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Tabla B.2. Comparativa de ayudas autonómicas a la inclusión digital (2025-2026)</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1300"/>
        <w:gridCol w:w="1526"/>
        <w:gridCol w:w="1100"/>
        <w:gridCol w:w="900"/>
        <w:gridCol w:w="1600"/>
        <w:tblGridChange w:id="0">
          <w:tblGrid>
            <w:gridCol w:w="1200"/>
            <w:gridCol w:w="1400"/>
            <w:gridCol w:w="1300"/>
            <w:gridCol w:w="1526"/>
            <w:gridCol w:w="1100"/>
            <w:gridCol w:w="900"/>
            <w:gridCol w:w="1600"/>
          </w:tblGrid>
        </w:tblGridChange>
      </w:tblGrid>
      <w:tr>
        <w:trPr>
          <w:cantSplit w:val="0"/>
          <w:tblHeader w:val="0"/>
        </w:trPr>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b w:val="1"/>
                <w:bCs w:val="1"/>
                <w:color w:val="ffffff"/>
                <w:sz w:val="20"/>
                <w:szCs w:val="20"/>
                <w:rtl w:val="0"/>
              </w:rPr>
              <w:t xml:space="preserve">CC.AA.</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b w:val="1"/>
                <w:bCs w:val="1"/>
                <w:color w:val="ffffff"/>
                <w:sz w:val="20"/>
                <w:szCs w:val="20"/>
                <w:rtl w:val="0"/>
              </w:rPr>
              <w:t xml:space="preserve">Programa</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b w:val="1"/>
                <w:bCs w:val="1"/>
                <w:color w:val="ffffff"/>
                <w:sz w:val="20"/>
                <w:szCs w:val="20"/>
                <w:rtl w:val="0"/>
              </w:rPr>
              <w:t xml:space="preserve">Población objetivo</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b w:val="1"/>
                <w:bCs w:val="1"/>
                <w:color w:val="ffffff"/>
                <w:sz w:val="20"/>
                <w:szCs w:val="20"/>
                <w:rtl w:val="0"/>
              </w:rPr>
              <w:t xml:space="preserve">Tipo de ayuda</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b w:val="1"/>
                <w:bCs w:val="1"/>
                <w:color w:val="ffffff"/>
                <w:sz w:val="20"/>
                <w:szCs w:val="20"/>
                <w:rtl w:val="0"/>
              </w:rPr>
              <w:t xml:space="preserve">Alcance</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b w:val="1"/>
                <w:bCs w:val="1"/>
                <w:color w:val="ffffff"/>
                <w:sz w:val="20"/>
                <w:szCs w:val="20"/>
                <w:rtl w:val="0"/>
              </w:rPr>
              <w:t xml:space="preserve">Perspectiva de género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b w:val="0"/>
                <w:bCs w:val="0"/>
                <w:color w:val="000000"/>
                <w:sz w:val="20"/>
                <w:szCs w:val="20"/>
                <w:rtl w:val="0"/>
              </w:rPr>
              <w:t xml:space="preserve">Cataluña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b w:val="0"/>
                <w:bCs w:val="0"/>
                <w:color w:val="000000"/>
                <w:sz w:val="20"/>
                <w:szCs w:val="20"/>
                <w:rtl w:val="0"/>
              </w:rPr>
              <w:t xml:space="preserve">Becas TIC educativas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b w:val="0"/>
                <w:bCs w:val="0"/>
                <w:color w:val="000000"/>
                <w:sz w:val="20"/>
                <w:szCs w:val="20"/>
                <w:rtl w:val="0"/>
              </w:rPr>
              <w:t xml:space="preserve">Alumnos vulnerables 6-18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b w:val="0"/>
                <w:bCs w:val="0"/>
                <w:color w:val="000000"/>
                <w:sz w:val="20"/>
                <w:szCs w:val="20"/>
                <w:rtl w:val="0"/>
              </w:rPr>
              <w:t xml:space="preserve">Dispositivo + bono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b w:val="0"/>
                <w:bCs w:val="0"/>
                <w:color w:val="000000"/>
                <w:sz w:val="20"/>
                <w:szCs w:val="20"/>
                <w:rtl w:val="0"/>
              </w:rPr>
              <w:t xml:space="preserve">~15.000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b w:val="0"/>
                <w:bCs w:val="0"/>
                <w:color w:val="000000"/>
                <w:sz w:val="20"/>
                <w:szCs w:val="20"/>
                <w:rtl w:val="0"/>
              </w:rPr>
              <w:t xml:space="preserve">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b w:val="0"/>
                <w:bCs w:val="0"/>
                <w:color w:val="000000"/>
                <w:sz w:val="20"/>
                <w:szCs w:val="20"/>
                <w:rtl w:val="0"/>
              </w:rPr>
              <w:t xml:space="preserve">Sin desagregación de género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b w:val="0"/>
                <w:bCs w:val="0"/>
                <w:color w:val="000000"/>
                <w:sz w:val="20"/>
                <w:szCs w:val="20"/>
                <w:rtl w:val="0"/>
              </w:rPr>
              <w:t xml:space="preserve">C. Valenciana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b w:val="0"/>
                <w:bCs w:val="0"/>
                <w:color w:val="000000"/>
                <w:sz w:val="20"/>
                <w:szCs w:val="20"/>
                <w:rtl w:val="0"/>
              </w:rPr>
              <w:t xml:space="preserve">Plan Xarxa Llibres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b w:val="0"/>
                <w:bCs w:val="0"/>
                <w:color w:val="000000"/>
                <w:sz w:val="20"/>
                <w:szCs w:val="20"/>
                <w:rtl w:val="0"/>
              </w:rPr>
              <w:t xml:space="preserve">Alumnos ESO/Bach.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b w:val="0"/>
                <w:bCs w:val="0"/>
                <w:color w:val="000000"/>
                <w:sz w:val="20"/>
                <w:szCs w:val="20"/>
                <w:rtl w:val="0"/>
              </w:rPr>
              <w:t xml:space="preserve">Tabletas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b w:val="0"/>
                <w:bCs w:val="0"/>
                <w:color w:val="000000"/>
                <w:sz w:val="20"/>
                <w:szCs w:val="20"/>
                <w:rtl w:val="0"/>
              </w:rPr>
              <w:t xml:space="preserve">~120.000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b w:val="0"/>
                <w:bCs w:val="0"/>
                <w:color w:val="000000"/>
                <w:sz w:val="20"/>
                <w:szCs w:val="20"/>
                <w:rtl w:val="0"/>
              </w:rPr>
              <w:t xml:space="preserve">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b w:val="0"/>
                <w:bCs w:val="0"/>
                <w:color w:val="000000"/>
                <w:sz w:val="20"/>
                <w:szCs w:val="20"/>
                <w:rtl w:val="0"/>
              </w:rPr>
              <w:t xml:space="preserve">Sin desagregación de género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b w:val="0"/>
                <w:bCs w:val="0"/>
                <w:color w:val="000000"/>
                <w:sz w:val="20"/>
                <w:szCs w:val="20"/>
                <w:rtl w:val="0"/>
              </w:rPr>
              <w:t xml:space="preserve">Galicia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b w:val="0"/>
                <w:bCs w:val="0"/>
                <w:color w:val="000000"/>
                <w:sz w:val="20"/>
                <w:szCs w:val="20"/>
                <w:rtl w:val="0"/>
              </w:rPr>
              <w:t xml:space="preserve">E-Dixgal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b w:val="0"/>
                <w:bCs w:val="0"/>
                <w:color w:val="000000"/>
                <w:sz w:val="20"/>
                <w:szCs w:val="20"/>
                <w:rtl w:val="0"/>
              </w:rPr>
              <w:t xml:space="preserve">Alumnos 5º prim.-4º 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b w:val="0"/>
                <w:bCs w:val="0"/>
                <w:color w:val="000000"/>
                <w:sz w:val="20"/>
                <w:szCs w:val="20"/>
                <w:rtl w:val="0"/>
              </w:rPr>
              <w:t xml:space="preserve">Portátil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b w:val="0"/>
                <w:bCs w:val="0"/>
                <w:color w:val="000000"/>
                <w:sz w:val="20"/>
                <w:szCs w:val="20"/>
                <w:rtl w:val="0"/>
              </w:rPr>
              <w:t xml:space="preserve">~110.000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b w:val="0"/>
                <w:bCs w:val="0"/>
                <w:color w:val="000000"/>
                <w:sz w:val="20"/>
                <w:szCs w:val="20"/>
                <w:rtl w:val="0"/>
              </w:rPr>
              <w:t xml:space="preserve">Activo 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b w:val="0"/>
                <w:bCs w:val="0"/>
                <w:color w:val="000000"/>
                <w:sz w:val="20"/>
                <w:szCs w:val="20"/>
                <w:rtl w:val="0"/>
              </w:rPr>
              <w:t xml:space="preserve">Sin perspectiva de género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b w:val="0"/>
                <w:bCs w:val="0"/>
                <w:color w:val="000000"/>
                <w:sz w:val="20"/>
                <w:szCs w:val="20"/>
                <w:rtl w:val="0"/>
              </w:rPr>
              <w:t xml:space="preserve">C. Madrid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b w:val="0"/>
                <w:bCs w:val="0"/>
                <w:color w:val="000000"/>
                <w:sz w:val="20"/>
                <w:szCs w:val="20"/>
                <w:rtl w:val="0"/>
              </w:rPr>
              <w:t xml:space="preserve">Orden 37/2026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b w:val="0"/>
                <w:bCs w:val="0"/>
                <w:color w:val="000000"/>
                <w:sz w:val="20"/>
                <w:szCs w:val="20"/>
                <w:rtl w:val="0"/>
              </w:rPr>
              <w:t xml:space="preserve">Ciudadanos vulnerables adultos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b w:val="0"/>
                <w:bCs w:val="0"/>
                <w:color w:val="000000"/>
                <w:sz w:val="20"/>
                <w:szCs w:val="20"/>
                <w:rtl w:val="0"/>
              </w:rPr>
              <w:t xml:space="preserve">Subvención entidades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b w:val="0"/>
                <w:bCs w:val="0"/>
                <w:color w:val="000000"/>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b w:val="0"/>
                <w:bCs w:val="0"/>
                <w:color w:val="000000"/>
                <w:sz w:val="20"/>
                <w:szCs w:val="20"/>
                <w:rtl w:val="0"/>
              </w:rPr>
              <w:t xml:space="preserve">Activo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b w:val="0"/>
                <w:bCs w:val="0"/>
                <w:color w:val="000000"/>
                <w:sz w:val="20"/>
                <w:szCs w:val="20"/>
                <w:rtl w:val="0"/>
              </w:rPr>
              <w:t xml:space="preserve">Incluye mujeres como grupo prioritario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b w:val="0"/>
                <w:bCs w:val="0"/>
                <w:color w:val="000000"/>
                <w:sz w:val="20"/>
                <w:szCs w:val="20"/>
                <w:rtl w:val="0"/>
              </w:rPr>
              <w:t xml:space="preserve">País Vasco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b w:val="0"/>
                <w:bCs w:val="0"/>
                <w:color w:val="000000"/>
                <w:sz w:val="20"/>
                <w:szCs w:val="20"/>
                <w:rtl w:val="0"/>
              </w:rPr>
              <w:t xml:space="preserve">Digital Hezkuntza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b w:val="0"/>
                <w:bCs w:val="0"/>
                <w:color w:val="000000"/>
                <w:sz w:val="20"/>
                <w:szCs w:val="20"/>
                <w:rtl w:val="0"/>
              </w:rPr>
              <w:t xml:space="preserve">Centros escolares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b w:val="0"/>
                <w:bCs w:val="0"/>
                <w:color w:val="000000"/>
                <w:sz w:val="20"/>
                <w:szCs w:val="20"/>
                <w:rtl w:val="0"/>
              </w:rPr>
              <w:t xml:space="preserve">Infraestructura + docentes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b w:val="0"/>
                <w:bCs w:val="0"/>
                <w:color w:val="000000"/>
                <w:sz w:val="20"/>
                <w:szCs w:val="20"/>
                <w:rtl w:val="0"/>
              </w:rPr>
              <w:t xml:space="preserve">Todos los centros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b w:val="0"/>
                <w:bCs w:val="0"/>
                <w:color w:val="000000"/>
                <w:sz w:val="20"/>
                <w:szCs w:val="20"/>
                <w:rtl w:val="0"/>
              </w:rPr>
              <w:t xml:space="preserve">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b w:val="0"/>
                <w:bCs w:val="0"/>
                <w:color w:val="000000"/>
                <w:sz w:val="20"/>
                <w:szCs w:val="20"/>
                <w:rtl w:val="0"/>
              </w:rPr>
              <w:t xml:space="preserve">Sin perspectiva de género</w:t>
            </w:r>
            <w:r w:rsidDel="00000000" w:rsidR="00000000" w:rsidRPr="00000000">
              <w:rPr>
                <w:rtl w:val="0"/>
              </w:rPr>
            </w:r>
          </w:p>
        </w:tc>
      </w:tr>
    </w:tbl>
    <w:p w:rsidR="00000000" w:rsidDel="00000000" w:rsidP="00000000" w:rsidRDefault="00000000" w:rsidRPr="00000000" w14:paraId="000001BE">
      <w:pPr>
        <w:spacing w:after="240" w:before="80" w:lineRule="auto"/>
        <w:rPr/>
      </w:pPr>
      <w:r w:rsidDel="00000000" w:rsidR="00000000" w:rsidRPr="00000000">
        <w:rPr>
          <w:i w:val="1"/>
          <w:iCs w:val="1"/>
          <w:sz w:val="20"/>
          <w:szCs w:val="20"/>
          <w:rtl w:val="0"/>
        </w:rPr>
        <w:t xml:space="preserve">Fuente: Elaboración propia a partir de información pública de las Consejerías de Educación y Digitalización (2025-2026).</w:t>
      </w: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Tabla B.3. Comparativa internacional de modelos de garantía de conectividad</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gridCol w:w="1226"/>
        <w:gridCol w:w="1200"/>
        <w:gridCol w:w="1300"/>
        <w:gridCol w:w="1500"/>
        <w:gridCol w:w="1000"/>
        <w:tblGridChange w:id="0">
          <w:tblGrid>
            <w:gridCol w:w="1000"/>
            <w:gridCol w:w="1800"/>
            <w:gridCol w:w="1226"/>
            <w:gridCol w:w="1200"/>
            <w:gridCol w:w="1300"/>
            <w:gridCol w:w="1500"/>
            <w:gridCol w:w="1000"/>
          </w:tblGrid>
        </w:tblGridChange>
      </w:tblGrid>
      <w:tr>
        <w:trPr>
          <w:cantSplit w:val="0"/>
          <w:tblHeader w:val="0"/>
        </w:trPr>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b w:val="1"/>
                <w:bCs w:val="1"/>
                <w:color w:val="ffffff"/>
                <w:sz w:val="20"/>
                <w:szCs w:val="20"/>
                <w:rtl w:val="0"/>
              </w:rPr>
              <w:t xml:space="preserve">País</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b w:val="1"/>
                <w:bCs w:val="1"/>
                <w:color w:val="ffffff"/>
                <w:sz w:val="20"/>
                <w:szCs w:val="20"/>
                <w:rtl w:val="0"/>
              </w:rPr>
              <w:t xml:space="preserve">Modelo</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b w:val="1"/>
                <w:bCs w:val="1"/>
                <w:color w:val="ffffff"/>
                <w:sz w:val="20"/>
                <w:szCs w:val="20"/>
                <w:rtl w:val="0"/>
              </w:rPr>
              <w:t xml:space="preserve">Cobertura</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b w:val="1"/>
                <w:bCs w:val="1"/>
                <w:color w:val="ffffff"/>
                <w:sz w:val="20"/>
                <w:szCs w:val="20"/>
                <w:rtl w:val="0"/>
              </w:rPr>
              <w:t xml:space="preserve">Año</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b w:val="1"/>
                <w:bCs w:val="1"/>
                <w:color w:val="ffffff"/>
                <w:sz w:val="20"/>
                <w:szCs w:val="20"/>
                <w:rtl w:val="0"/>
              </w:rPr>
              <w:t xml:space="preserve">Coste anual</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b w:val="1"/>
                <w:bCs w:val="1"/>
                <w:color w:val="ffffff"/>
                <w:sz w:val="20"/>
                <w:szCs w:val="20"/>
                <w:rtl w:val="0"/>
              </w:rPr>
              <w:t xml:space="preserve">Perspectiva de género</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b w:val="1"/>
                <w:bCs w:val="1"/>
                <w:color w:val="ffffff"/>
                <w:sz w:val="20"/>
                <w:szCs w:val="20"/>
                <w:rtl w:val="0"/>
              </w:rPr>
              <w:t xml:space="preserve">Impacto brecha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b w:val="0"/>
                <w:bCs w:val="0"/>
                <w:color w:val="000000"/>
                <w:sz w:val="20"/>
                <w:szCs w:val="20"/>
                <w:rtl w:val="0"/>
              </w:rPr>
              <w:t xml:space="preserve">Finlandia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b w:val="0"/>
                <w:bCs w:val="0"/>
                <w:color w:val="000000"/>
                <w:sz w:val="20"/>
                <w:szCs w:val="20"/>
                <w:rtl w:val="0"/>
              </w:rPr>
              <w:t xml:space="preserve">Derecho universal a 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b w:val="0"/>
                <w:bCs w:val="0"/>
                <w:color w:val="000000"/>
                <w:sz w:val="20"/>
                <w:szCs w:val="20"/>
                <w:rtl w:val="0"/>
              </w:rPr>
              <w:t xml:space="preserve">Toda la población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b w:val="0"/>
                <w:bCs w:val="0"/>
                <w:color w:val="000000"/>
                <w:sz w:val="20"/>
                <w:szCs w:val="20"/>
                <w:rtl w:val="0"/>
              </w:rPr>
              <w:t xml:space="preserve">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b w:val="0"/>
                <w:bCs w:val="0"/>
                <w:color w:val="000000"/>
                <w:sz w:val="20"/>
                <w:szCs w:val="20"/>
                <w:rtl w:val="0"/>
              </w:rPr>
              <w:t xml:space="preserve">~300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b w:val="0"/>
                <w:bCs w:val="0"/>
                <w:color w:val="000000"/>
                <w:sz w:val="20"/>
                <w:szCs w:val="20"/>
                <w:rtl w:val="0"/>
              </w:rPr>
              <w:t xml:space="preserve">Evaluación con perspectiva de género sistemática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b w:val="0"/>
                <w:bCs w:val="0"/>
                <w:color w:val="000000"/>
                <w:sz w:val="20"/>
                <w:szCs w:val="20"/>
                <w:rtl w:val="0"/>
              </w:rPr>
              <w:t xml:space="preserve">Brecha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b w:val="0"/>
                <w:bCs w:val="0"/>
                <w:color w:val="000000"/>
                <w:sz w:val="20"/>
                <w:szCs w:val="20"/>
                <w:rtl w:val="0"/>
              </w:rPr>
              <w:t xml:space="preserve">EE.UU.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b w:val="0"/>
                <w:bCs w:val="0"/>
                <w:color w:val="000000"/>
                <w:sz w:val="20"/>
                <w:szCs w:val="20"/>
                <w:rtl w:val="0"/>
              </w:rPr>
              <w:t xml:space="preserve">Affordable Connectivity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b w:val="0"/>
                <w:bCs w:val="0"/>
                <w:color w:val="000000"/>
                <w:sz w:val="20"/>
                <w:szCs w:val="20"/>
                <w:rtl w:val="0"/>
              </w:rPr>
              <w:t xml:space="preserve">Hogares bajo umbral pobreza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b w:val="0"/>
                <w:bCs w:val="0"/>
                <w:color w:val="000000"/>
                <w:sz w:val="20"/>
                <w:szCs w:val="20"/>
                <w:rtl w:val="0"/>
              </w:rPr>
              <w:t xml:space="preserve">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b w:val="0"/>
                <w:bCs w:val="0"/>
                <w:color w:val="000000"/>
                <w:sz w:val="20"/>
                <w:szCs w:val="20"/>
                <w:rtl w:val="0"/>
              </w:rPr>
              <w:t xml:space="preserve">~14.000 M$/año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b w:val="0"/>
                <w:bCs w:val="0"/>
                <w:color w:val="000000"/>
                <w:sz w:val="20"/>
                <w:szCs w:val="20"/>
                <w:rtl w:val="0"/>
              </w:rPr>
              <w:t xml:space="preserve">Sin análisis de género explícito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b w:val="0"/>
                <w:bCs w:val="0"/>
                <w:color w:val="000000"/>
                <w:sz w:val="20"/>
                <w:szCs w:val="20"/>
                <w:rtl w:val="0"/>
              </w:rPr>
              <w:t xml:space="preserve">23 M hogares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b w:val="0"/>
                <w:bCs w:val="0"/>
                <w:color w:val="000000"/>
                <w:sz w:val="20"/>
                <w:szCs w:val="20"/>
                <w:rtl w:val="0"/>
              </w:rPr>
              <w:t xml:space="preserve">Francia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b w:val="0"/>
                <w:bCs w:val="0"/>
                <w:color w:val="000000"/>
                <w:sz w:val="20"/>
                <w:szCs w:val="20"/>
                <w:rtl w:val="0"/>
              </w:rPr>
              <w:t xml:space="preserve">Chèque numérique + tarifa 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b w:val="0"/>
                <w:bCs w:val="0"/>
                <w:color w:val="000000"/>
                <w:sz w:val="20"/>
                <w:szCs w:val="20"/>
                <w:rtl w:val="0"/>
              </w:rPr>
              <w:t xml:space="preserve">Hogares RSA + mayores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b w:val="0"/>
                <w:bCs w:val="0"/>
                <w:color w:val="000000"/>
                <w:sz w:val="20"/>
                <w:szCs w:val="20"/>
                <w:rtl w:val="0"/>
              </w:rPr>
              <w:t xml:space="preserve">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b w:val="0"/>
                <w:bCs w:val="0"/>
                <w:color w:val="000000"/>
                <w:sz w:val="20"/>
                <w:szCs w:val="20"/>
                <w:rtl w:val="0"/>
              </w:rPr>
              <w:t xml:space="preserve">~400 M€/año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b w:val="0"/>
                <w:bCs w:val="0"/>
                <w:color w:val="000000"/>
                <w:sz w:val="20"/>
                <w:szCs w:val="20"/>
                <w:rtl w:val="0"/>
              </w:rPr>
              <w:t xml:space="preserve">Programas específicos para mujeres mayores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b w:val="0"/>
                <w:bCs w:val="0"/>
                <w:color w:val="000000"/>
                <w:sz w:val="20"/>
                <w:szCs w:val="20"/>
                <w:rtl w:val="0"/>
              </w:rPr>
              <w:t xml:space="preserve">Reducción brecha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b w:val="0"/>
                <w:bCs w:val="0"/>
                <w:color w:val="000000"/>
                <w:sz w:val="20"/>
                <w:szCs w:val="20"/>
                <w:rtl w:val="0"/>
              </w:rPr>
              <w:t xml:space="preserve">España (propuesta)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b w:val="0"/>
                <w:bCs w:val="0"/>
                <w:color w:val="000000"/>
                <w:sz w:val="20"/>
                <w:szCs w:val="20"/>
                <w:rtl w:val="0"/>
              </w:rPr>
              <w:t xml:space="preserve">Complemento IMV + bono escolar + datos mayores + medidas género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b w:val="0"/>
                <w:bCs w:val="0"/>
                <w:color w:val="000000"/>
                <w:sz w:val="20"/>
                <w:szCs w:val="20"/>
                <w:rtl w:val="0"/>
              </w:rPr>
              <w:t xml:space="preserve">Menores vulnerables + mayores +65 + mujeres prioritarias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b w:val="0"/>
                <w:bCs w:val="0"/>
                <w:color w:val="000000"/>
                <w:sz w:val="20"/>
                <w:szCs w:val="20"/>
                <w:rtl w:val="0"/>
              </w:rPr>
              <w:t xml:space="preserve">2027 (proyectado)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b w:val="0"/>
                <w:bCs w:val="0"/>
                <w:color w:val="000000"/>
                <w:sz w:val="20"/>
                <w:szCs w:val="20"/>
                <w:rtl w:val="0"/>
              </w:rPr>
              <w:t xml:space="preserve">~2.800 M€/año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0"/>
                <w:bCs w:val="0"/>
                <w:color w:val="000000"/>
                <w:sz w:val="20"/>
                <w:szCs w:val="20"/>
                <w:rtl w:val="0"/>
              </w:rPr>
              <w:t xml:space="preserve">Evaluación de impacto de género integrada en todas las medidas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b w:val="0"/>
                <w:bCs w:val="0"/>
                <w:color w:val="000000"/>
                <w:sz w:val="20"/>
                <w:szCs w:val="20"/>
                <w:rtl w:val="0"/>
              </w:rPr>
              <w:t xml:space="preserve">Objetivo: -50% brecha total, -60% brecha género</w:t>
            </w:r>
            <w:r w:rsidDel="00000000" w:rsidR="00000000" w:rsidRPr="00000000">
              <w:rPr>
                <w:rtl w:val="0"/>
              </w:rPr>
            </w:r>
          </w:p>
        </w:tc>
      </w:tr>
    </w:tbl>
    <w:p w:rsidR="00000000" w:rsidDel="00000000" w:rsidP="00000000" w:rsidRDefault="00000000" w:rsidRPr="00000000" w14:paraId="000001E3">
      <w:pPr>
        <w:spacing w:after="240" w:before="80" w:lineRule="auto"/>
        <w:rPr/>
      </w:pPr>
      <w:r w:rsidDel="00000000" w:rsidR="00000000" w:rsidRPr="00000000">
        <w:rPr>
          <w:i w:val="1"/>
          <w:iCs w:val="1"/>
          <w:sz w:val="20"/>
          <w:szCs w:val="20"/>
          <w:rtl w:val="0"/>
        </w:rPr>
        <w:t xml:space="preserve">Fuente: Elaboración propia a partir de fuentes nacionales de cada país y European Commission, DESI 2024; EIGE 2024.</w:t>
      </w:r>
      <w:r w:rsidDel="00000000" w:rsidR="00000000" w:rsidRPr="00000000">
        <w:rPr>
          <w:rtl w:val="0"/>
        </w:rPr>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rPr/>
      </w:pPr>
      <w:r w:rsidDel="00000000" w:rsidR="00000000" w:rsidRPr="00000000">
        <w:rPr>
          <w:rtl w:val="0"/>
        </w:rPr>
        <w:t xml:space="preserve">NOTA FINAL DEL AUTOR</w:t>
      </w:r>
    </w:p>
    <w:p w:rsidR="00000000" w:rsidDel="00000000" w:rsidP="00000000" w:rsidRDefault="00000000" w:rsidRPr="00000000" w14:paraId="000001E6">
      <w:pPr>
        <w:spacing w:after="160" w:before="80" w:lineRule="auto"/>
        <w:jc w:val="both"/>
        <w:rPr/>
      </w:pPr>
      <w:r w:rsidDel="00000000" w:rsidR="00000000" w:rsidRPr="00000000">
        <w:rPr>
          <w:sz w:val="24"/>
          <w:szCs w:val="24"/>
          <w:rtl w:val="0"/>
        </w:rPr>
        <w:t xml:space="preserve">Este paper-manifiesto fue escrito y ampliado en marzo de 2026, en un momento en que la inteligencia artificial generativa ha comenzado a transformar radicalmente la forma en que producimos, consumimos y distribuimos conocimiento. La paradoja que lo inspira tiene ahora cuatro capas: la de los niños que no pueden aprender porque no tienen conexión; la de los mayores que no pueden acceder al médico porque no tienen smartphone; la de los investigadores que no pueden acceder al conocimiento científico porque no pueden pagar el acceso a las revistas académicas; y la de las mujeres —en todas las edades, en todos los territorios, en todas las situaciones— que acumulan desventajas digitales que el dato agregado invisibiliza y que las políticas sin perspectiva de género reproducen.</w:t>
      </w:r>
      <w:r w:rsidDel="00000000" w:rsidR="00000000" w:rsidRPr="00000000">
        <w:rPr>
          <w:rtl w:val="0"/>
        </w:rPr>
      </w:r>
    </w:p>
    <w:p w:rsidR="00000000" w:rsidDel="00000000" w:rsidP="00000000" w:rsidRDefault="00000000" w:rsidRPr="00000000" w14:paraId="000001E7">
      <w:pPr>
        <w:spacing w:after="160" w:before="80" w:lineRule="auto"/>
        <w:jc w:val="both"/>
        <w:rPr/>
      </w:pPr>
      <w:r w:rsidDel="00000000" w:rsidR="00000000" w:rsidRPr="00000000">
        <w:rPr>
          <w:sz w:val="24"/>
          <w:szCs w:val="24"/>
          <w:rtl w:val="0"/>
        </w:rPr>
        <w:t xml:space="preserve">Las cuatro brechas tienen la misma raíz: la decisión de tratar como mercancías lo que debería ser bien común, y la incapacidad de reconocer que la distribución de esas mercancías —cuando se las garantiza como derechos— reproduce las desigualdades preexistentes si no se diseña con perspectiva de interseccionalidad. La red. El conocimiento. La comunicación. La autonomía digital de las mujeres. Estas no son mercancías. Son la infraestructura de la ciudadanía del siglo XXI.</w:t>
      </w:r>
      <w:r w:rsidDel="00000000" w:rsidR="00000000" w:rsidRPr="00000000">
        <w:rPr>
          <w:rtl w:val="0"/>
        </w:rPr>
      </w:r>
    </w:p>
    <w:p w:rsidR="00000000" w:rsidDel="00000000" w:rsidP="00000000" w:rsidRDefault="00000000" w:rsidRPr="00000000" w14:paraId="000001E8">
      <w:pPr>
        <w:spacing w:after="160" w:before="80" w:lineRule="auto"/>
        <w:jc w:val="both"/>
        <w:rPr/>
      </w:pPr>
      <w:r w:rsidDel="00000000" w:rsidR="00000000" w:rsidRPr="00000000">
        <w:rPr>
          <w:sz w:val="24"/>
          <w:szCs w:val="24"/>
          <w:rtl w:val="0"/>
        </w:rPr>
        <w:t xml:space="preserve">El mapache que hurga en los márgenes del sistema tiene ahora, en esta tercera edición, un perfil más preciso y más urgente. Es una mujer de 78 años que vive sola en un pueblo de Teruel. No tiene smartphone. No sabe pedir la cita médica por internet. No ha aparecido en ningún programa de formación digital porque los programas no la han buscado, porque las estadísticas no la han visto, porque las políticas no la han nombrado. Esta mujer no necesita caridad. Necesita un sistema que la reconozca como sujeto de derechos digitales plenos, no como destinataria de ayudas discrecionales que dependen de que alguien recuerde incluirla en el presupuesto de este año.</w:t>
      </w:r>
      <w:r w:rsidDel="00000000" w:rsidR="00000000" w:rsidRPr="00000000">
        <w:rPr>
          <w:rtl w:val="0"/>
        </w:rPr>
      </w:r>
    </w:p>
    <w:p w:rsidR="00000000" w:rsidDel="00000000" w:rsidP="00000000" w:rsidRDefault="00000000" w:rsidRPr="00000000" w14:paraId="000001E9">
      <w:pPr>
        <w:spacing w:after="160" w:before="80" w:lineRule="auto"/>
        <w:jc w:val="both"/>
        <w:rPr/>
      </w:pPr>
      <w:r w:rsidDel="00000000" w:rsidR="00000000" w:rsidRPr="00000000">
        <w:rPr>
          <w:sz w:val="24"/>
          <w:szCs w:val="24"/>
          <w:rtl w:val="0"/>
        </w:rPr>
        <w:t xml:space="preserve">La universalidad no es un ideal utópico. La interseccionalidad no es un lujo académico. Son las dos condiciones de posibilidad de una política de inclusión digital que funcione para todos, y especialmente para quienes más lo necesitan. Lo demuestra Finlandia. Lo demuestra la educación. Lo demostrará la conectividad, cuando decidamos que ya es suficiente de esperar.</w:t>
      </w:r>
      <w:r w:rsidDel="00000000" w:rsidR="00000000" w:rsidRPr="00000000">
        <w:rPr>
          <w:rtl w:val="0"/>
        </w:rPr>
      </w:r>
    </w:p>
    <w:p w:rsidR="00000000" w:rsidDel="00000000" w:rsidP="00000000" w:rsidRDefault="00000000" w:rsidRPr="00000000" w14:paraId="000001EA">
      <w:pPr>
        <w:spacing w:after="120" w:before="480" w:lineRule="auto"/>
        <w:jc w:val="right"/>
        <w:rPr/>
      </w:pPr>
      <w:r w:rsidDel="00000000" w:rsidR="00000000" w:rsidRPr="00000000">
        <w:rPr>
          <w:b w:val="1"/>
          <w:bCs w:val="1"/>
          <w:sz w:val="24"/>
          <w:szCs w:val="24"/>
          <w:rtl w:val="0"/>
        </w:rPr>
        <w:t xml:space="preserve">David Ferrandez Canalis</w:t>
      </w:r>
      <w:r w:rsidDel="00000000" w:rsidR="00000000" w:rsidRPr="00000000">
        <w:rPr>
          <w:rtl w:val="0"/>
        </w:rPr>
      </w:r>
    </w:p>
    <w:p w:rsidR="00000000" w:rsidDel="00000000" w:rsidP="00000000" w:rsidRDefault="00000000" w:rsidRPr="00000000" w14:paraId="000001EB">
      <w:pPr>
        <w:spacing w:after="120" w:before="0" w:lineRule="auto"/>
        <w:jc w:val="center"/>
        <w:rPr/>
      </w:pPr>
      <w:r w:rsidDel="00000000" w:rsidR="00000000" w:rsidRPr="00000000">
        <w:rPr>
          <w:rtl w:val="0"/>
        </w:rPr>
      </w:r>
    </w:p>
    <w:p w:rsidR="00000000" w:rsidDel="00000000" w:rsidP="00000000" w:rsidRDefault="00000000" w:rsidRPr="00000000" w14:paraId="000001EC">
      <w:pPr>
        <w:spacing w:after="480" w:before="0" w:lineRule="auto"/>
        <w:jc w:val="right"/>
        <w:rPr/>
      </w:pPr>
      <w:r w:rsidDel="00000000" w:rsidR="00000000" w:rsidRPr="00000000">
        <w:rPr>
          <w:sz w:val="22"/>
          <w:szCs w:val="22"/>
          <w:rtl w:val="0"/>
        </w:rPr>
        <w:t xml:space="preserve">Barcelona, marzo de 2026 —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549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