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2E75B6"/>
          <w:sz w:val="24"/>
          <w:szCs w:val="24"/>
        </w:rPr>
        <w:t xml:space="preserve">WHITEPAPER TÉCNICO-COMERCIAL</w:t>
      </w:r>
    </w:p>
    <w:p>
      <w:pPr>
        <w:spacing w:after="600" w:before="0"/>
        <w:jc w:val="center"/>
      </w:pPr>
      <w:r>
        <w:rPr>
          <w:rFonts w:ascii="Arial" w:cs="Arial" w:eastAsia="Arial" w:hAnsi="Arial"/>
          <w:b w:val="false"/>
          <w:bCs w:val="false"/>
          <w:i/>
          <w:iCs/>
          <w:color w:val="D9D9D9"/>
          <w:sz w:val="20"/>
          <w:szCs w:val="20"/>
        </w:rPr>
        <w:t xml:space="preserve">PRIOR ART REGISTRATION DOCUMENT</w:t>
      </w:r>
    </w:p>
    <w:p>
      <w:pPr>
        <w:spacing w:after="80" w:before="0"/>
        <w:jc w:val="center"/>
      </w:pPr>
      <w:r>
        <w:rPr>
          <w:rFonts w:ascii="Arial" w:cs="Arial" w:eastAsia="Arial" w:hAnsi="Arial"/>
          <w:b/>
          <w:bCs/>
          <w:color w:val="0D2137"/>
          <w:sz w:val="52"/>
          <w:szCs w:val="52"/>
        </w:rPr>
        <w:t xml:space="preserve">LIGA DE RESILIENCIA DE IA Y COMBATE ONTOLÓGICO MULTI-AGENTE</w:t>
      </w:r>
    </w:p>
    <w:p>
      <w:pPr>
        <w:spacing w:after="600" w:before="0"/>
        <w:jc w:val="center"/>
      </w:pPr>
      <w:r>
        <w:rPr>
          <w:rFonts w:ascii="Arial" w:cs="Arial" w:eastAsia="Arial" w:hAnsi="Arial"/>
          <w:i/>
          <w:iCs/>
          <w:color w:val="1B5E9B"/>
          <w:sz w:val="28"/>
          <w:szCs w:val="28"/>
        </w:rPr>
        <w:t xml:space="preserve">Competitive AI Security Framework &amp; Intellectual eSports Model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2"/>
              <w:left w:val="single" w:color="2E75B6" w:sz="2"/>
              <w:bottom w:val="single" w:color="2E75B6" w:sz="2"/>
              <w:right w:val="single" w:color="2E75B6" w:sz="2"/>
            </w:tcBorders>
            <w:shd w:fill="EAF3FB" w:val="clear"/>
            <w:tcMar>
              <w:top w:type="dxa" w:w="100"/>
              <w:left w:type="dxa" w:w="160"/>
              <w:bottom w:type="dxa" w:w="100"/>
              <w:right w:type="dxa" w:w="80"/>
            </w:tcMar>
          </w:tcPr>
          <w:p>
            <w:pPr>
              <w:spacing w:after="40" w:before="0"/>
            </w:pPr>
            <w:r>
              <w:rPr>
                <w:rFonts w:ascii="Arial" w:cs="Arial" w:eastAsia="Arial" w:hAnsi="Arial"/>
                <w:b/>
                <w:bCs/>
                <w:color w:val="0D2137"/>
                <w:sz w:val="20"/>
                <w:szCs w:val="20"/>
              </w:rPr>
              <w:t xml:space="preserve">Edición</w:t>
            </w:r>
          </w:p>
          <w:p>
            <w:r>
              <w:rPr>
                <w:rFonts w:ascii="Arial" w:cs="Arial" w:eastAsia="Arial" w:hAnsi="Arial"/>
                <w:color w:val="4A4A4A"/>
                <w:sz w:val="20"/>
                <w:szCs w:val="20"/>
              </w:rPr>
              <w:t xml:space="preserve">[EDICIÓN] — Fundacional</w:t>
            </w:r>
          </w:p>
        </w:tc>
        <w:tc>
          <w:tcPr>
            <w:tcW w:type="dxa" w:w="3600"/>
            <w:tcBorders>
              <w:top w:val="single" w:color="2E75B6" w:sz="2"/>
              <w:left w:val="single" w:color="2E75B6" w:sz="2"/>
              <w:bottom w:val="single" w:color="2E75B6" w:sz="2"/>
              <w:right w:val="single" w:color="2E75B6" w:sz="2"/>
            </w:tcBorders>
            <w:shd w:fill="EAF3FB" w:val="clear"/>
            <w:tcMar>
              <w:top w:type="dxa" w:w="100"/>
              <w:left w:type="dxa" w:w="160"/>
              <w:bottom w:type="dxa" w:w="100"/>
              <w:right w:type="dxa" w:w="80"/>
            </w:tcMar>
          </w:tcPr>
          <w:p>
            <w:pPr>
              <w:spacing w:after="40" w:before="0"/>
            </w:pPr>
            <w:r>
              <w:rPr>
                <w:rFonts w:ascii="Arial" w:cs="Arial" w:eastAsia="Arial" w:hAnsi="Arial"/>
                <w:b/>
                <w:bCs/>
                <w:color w:val="0D2137"/>
                <w:sz w:val="20"/>
                <w:szCs w:val="20"/>
              </w:rPr>
              <w:t xml:space="preserve">Registro</w:t>
            </w:r>
          </w:p>
          <w:p>
            <w:r>
              <w:rPr>
                <w:rFonts w:ascii="Arial" w:cs="Arial" w:eastAsia="Arial" w:hAnsi="Arial"/>
                <w:color w:val="4A4A4A"/>
                <w:sz w:val="20"/>
                <w:szCs w:val="20"/>
              </w:rPr>
              <w:t xml:space="preserve">[AÑO DE REGISTRO]</w:t>
            </w:r>
          </w:p>
        </w:tc>
      </w:tr>
      <w:tr>
        <w:tc>
          <w:tcPr>
            <w:tcW w:type="dxa" w:w="3600"/>
            <w:tcBorders>
              <w:top w:val="single" w:color="2E75B6" w:sz="2"/>
              <w:left w:val="single" w:color="2E75B6" w:sz="2"/>
              <w:bottom w:val="single" w:color="2E75B6" w:sz="2"/>
              <w:right w:val="single" w:color="2E75B6" w:sz="2"/>
            </w:tcBorders>
            <w:shd w:fill="FFFFFF" w:val="clear"/>
            <w:tcMar>
              <w:top w:type="dxa" w:w="100"/>
              <w:left w:type="dxa" w:w="160"/>
              <w:bottom w:type="dxa" w:w="100"/>
              <w:right w:type="dxa" w:w="80"/>
            </w:tcMar>
          </w:tcPr>
          <w:p>
            <w:pPr>
              <w:spacing w:after="40" w:before="0"/>
            </w:pPr>
            <w:r>
              <w:rPr>
                <w:rFonts w:ascii="Arial" w:cs="Arial" w:eastAsia="Arial" w:hAnsi="Arial"/>
                <w:b/>
                <w:bCs/>
                <w:color w:val="0D2137"/>
                <w:sz w:val="20"/>
                <w:szCs w:val="20"/>
              </w:rPr>
              <w:t xml:space="preserve">Clasificación</w:t>
            </w:r>
          </w:p>
          <w:p>
            <w:r>
              <w:rPr>
                <w:rFonts w:ascii="Arial" w:cs="Arial" w:eastAsia="Arial" w:hAnsi="Arial"/>
                <w:b/>
                <w:bCs/>
                <w:color w:val="C0392B"/>
                <w:sz w:val="20"/>
                <w:szCs w:val="20"/>
              </w:rPr>
              <w:t xml:space="preserve">CONFIDENCIAL — PRIOR ART</w:t>
            </w:r>
          </w:p>
        </w:tc>
        <w:tc>
          <w:tcPr>
            <w:tcW w:type="dxa" w:w="3600"/>
            <w:tcBorders>
              <w:top w:val="single" w:color="2E75B6" w:sz="2"/>
              <w:left w:val="single" w:color="2E75B6" w:sz="2"/>
              <w:bottom w:val="single" w:color="2E75B6" w:sz="2"/>
              <w:right w:val="single" w:color="2E75B6" w:sz="2"/>
            </w:tcBorders>
            <w:shd w:fill="FFFFFF" w:val="clear"/>
            <w:tcMar>
              <w:top w:type="dxa" w:w="100"/>
              <w:left w:type="dxa" w:w="160"/>
              <w:bottom w:type="dxa" w:w="100"/>
              <w:right w:type="dxa" w:w="80"/>
            </w:tcMar>
          </w:tcPr>
          <w:p>
            <w:pPr>
              <w:spacing w:after="40" w:before="0"/>
            </w:pPr>
            <w:r>
              <w:rPr>
                <w:rFonts w:ascii="Arial" w:cs="Arial" w:eastAsia="Arial" w:hAnsi="Arial"/>
                <w:b/>
                <w:bCs/>
                <w:color w:val="0D2137"/>
                <w:sz w:val="20"/>
                <w:szCs w:val="20"/>
              </w:rPr>
              <w:t xml:space="preserve">Versión del documento</w:t>
            </w:r>
          </w:p>
          <w:p>
            <w:r>
              <w:rPr>
                <w:rFonts w:ascii="Arial" w:cs="Arial" w:eastAsia="Arial" w:hAnsi="Arial"/>
                <w:color w:val="4A4A4A"/>
                <w:sz w:val="20"/>
                <w:szCs w:val="20"/>
              </w:rPr>
              <w:t xml:space="preserve">v1.0</w:t>
            </w:r>
          </w:p>
        </w:tc>
      </w:tr>
    </w:tbl>
    <w:p>
      <w:pPr>
        <w:spacing w:after="0" w:before="400"/>
      </w:pPr>
    </w:p>
    <w:p>
      <w:pPr>
        <w:spacing w:after="0" w:before="200"/>
        <w:jc w:val="center"/>
      </w:pPr>
      <w:r>
        <w:rPr>
          <w:rFonts w:ascii="Arial" w:cs="Arial" w:eastAsia="Arial" w:hAnsi="Arial"/>
          <w:i/>
          <w:iCs/>
          <w:color w:val="4A4A4A"/>
          <w:sz w:val="18"/>
          <w:szCs w:val="18"/>
        </w:rPr>
        <w:t xml:space="preserve">© [AÑO DE REGISTRO]. Todos los derechos reservados. Metodología y modelo de negocio sujetos a protección de Prior Art.</w:t>
      </w:r>
    </w:p>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1 — TÍTULO GENERAL Y CLÁUSULA DE PROPIEDAD INTELECTUAL</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1.1 Título Académico y Técnico del Framework</w:t>
      </w:r>
    </w:p>
    <w:p>
      <w:pPr>
        <w:spacing w:after="160" w:before="0"/>
        <w:jc w:val="both"/>
      </w:pPr>
      <w:r>
        <w:rPr>
          <w:rFonts w:ascii="Arial" w:cs="Arial" w:eastAsia="Arial" w:hAnsi="Arial"/>
          <w:color w:val="4A4A4A"/>
          <w:sz w:val="22"/>
          <w:szCs w:val="22"/>
        </w:rPr>
        <w:t xml:space="preserve">La metodología descrita en el presente documento se denomina formalmente:</w:t>
      </w:r>
    </w:p>
    <w:p>
      <w:pPr>
        <w:spacing w:after="0" w:before="0"/>
      </w:pPr>
      <w:r>
        <w:t xml:space="preserve"/>
      </w:r>
    </w:p>
    <w:p>
      <w:pPr>
        <w:spacing w:after="80" w:before="160"/>
        <w:jc w:val="center"/>
      </w:pPr>
      <w:r>
        <w:rPr>
          <w:rFonts w:ascii="Arial" w:cs="Arial" w:eastAsia="Arial" w:hAnsi="Arial"/>
          <w:b/>
          <w:bCs/>
          <w:color w:val="0D2137"/>
          <w:sz w:val="26"/>
          <w:szCs w:val="26"/>
        </w:rPr>
        <w:t xml:space="preserve">"LIGA DE RESILIENCIA DE IA Y COMBATE ONTOLÓGICO MULTI-AGENTE"</w:t>
      </w:r>
    </w:p>
    <w:p>
      <w:pPr>
        <w:spacing w:after="200" w:before="0"/>
        <w:jc w:val="center"/>
      </w:pPr>
      <w:r>
        <w:rPr>
          <w:rFonts w:ascii="Arial" w:cs="Arial" w:eastAsia="Arial" w:hAnsi="Arial"/>
          <w:i/>
          <w:iCs/>
          <w:color w:val="1B5E9B"/>
          <w:sz w:val="22"/>
          <w:szCs w:val="22"/>
        </w:rPr>
        <w:t xml:space="preserve">Competitive Ontological Stress-Testing Framework for Large Language Model Identity Robustness</w:t>
      </w:r>
    </w:p>
    <w:p>
      <w:pPr>
        <w:spacing w:after="160" w:before="0"/>
        <w:jc w:val="both"/>
      </w:pPr>
      <w:r>
        <w:rPr>
          <w:rFonts w:ascii="Arial" w:cs="Arial" w:eastAsia="Arial" w:hAnsi="Arial"/>
          <w:color w:val="4A4A4A"/>
          <w:sz w:val="22"/>
          <w:szCs w:val="22"/>
        </w:rPr>
        <w:t xml:space="preserve">El framework integra tres dominios de conocimiento aplicado que hasta la fecha de este registro no han sido combinados de forma sistemática en ningún producto, metodología o entidad jurídica conocida: (i) la seguridad ofensiva y defensiva de sistemas de inteligencia artificial generativa, específicamente de Modelos de Lenguaje Grande (LLMs) basados en arquitectura transformer; (ii) la metodología de red teaming estructurado con agentes de razonamiento avanzado operando bajo reglas de competición formal; y (iii) el modelo de producción y distribución de contenido de alto impacto visual propio de la industria de los eSports.</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1.2 Declaración de Autoría y Registro de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1"/>
              <w:right w:val="none" w:color="FFFFFF" w:sz="0"/>
            </w:tcBorders>
            <w:shd w:fill="EAF3FB" w:val="clear"/>
            <w:tcMar>
              <w:top w:type="dxa" w:w="120"/>
              <w:left w:type="dxa" w:w="200"/>
              <w:bottom w:type="dxa" w:w="120"/>
              <w:right w:type="dxa" w:w="160"/>
            </w:tcMar>
          </w:tcPr>
          <w:p>
            <w:pPr>
              <w:spacing w:after="60" w:before="0"/>
            </w:pPr>
            <w:r>
              <w:rPr>
                <w:rFonts w:ascii="Arial" w:cs="Arial" w:eastAsia="Arial" w:hAnsi="Arial"/>
                <w:b/>
                <w:bCs/>
                <w:color w:val="1B5E9B"/>
                <w:sz w:val="20"/>
                <w:szCs w:val="20"/>
              </w:rPr>
              <w:t xml:space="preserve">DECLARACIÓN DE PRIOR ART</w:t>
            </w:r>
          </w:p>
          <w:p>
            <w:pPr>
              <w:jc w:val="both"/>
            </w:pPr>
            <w:r>
              <w:rPr>
                <w:rFonts w:ascii="Arial" w:cs="Arial" w:eastAsia="Arial" w:hAnsi="Arial"/>
                <w:i/>
                <w:iCs/>
                <w:color w:val="4A4A4A"/>
                <w:sz w:val="20"/>
                <w:szCs w:val="20"/>
              </w:rPr>
              <w:t xml:space="preserve">El presente documento constituye evidencia pública, fechada y estructurada del diseño conceptual, metodológico y comercial del framework denominado 'Liga de Resiliencia de IA y Combate Ontológico Multi-Agente'. Su publicación y diseminación tiene como propósito explícito establecer Prior Art bajo los principios del Derecho Internacional de Propiedad Intelectual, bloqueando la patentabilidad de los elementos aquí descritos por terceros que no puedan demostrar fecha de concepción anterior a este registro.</w:t>
            </w:r>
          </w:p>
        </w:tc>
      </w:tr>
    </w:tbl>
    <w:p>
      <w:pPr>
        <w:spacing w:after="0" w:before="0"/>
      </w:pPr>
      <w:r>
        <w:t xml:space="preserve"/>
      </w:r>
    </w:p>
    <w:p>
      <w:pPr>
        <w:spacing w:after="160" w:before="0"/>
        <w:jc w:val="both"/>
      </w:pPr>
      <w:r>
        <w:rPr>
          <w:rFonts w:ascii="Arial" w:cs="Arial" w:eastAsia="Arial" w:hAnsi="Arial"/>
          <w:color w:val="4A4A4A"/>
          <w:sz w:val="22"/>
          <w:szCs w:val="22"/>
        </w:rPr>
        <w:t xml:space="preserve">La autoría intelectual de la metodología, el reglamento operativo, el sistema de métricas, el modelo de espectáculo y el modelo de negocio aquí descritos pertenece en su totalidad al titular del presente documento. El diseño conceptual del framework integra conocimiento previo documentado en los siguientes trabajos de autoría relacionada, cuyo contenido sirve de fundamento teórico:</w:t>
      </w:r>
    </w:p>
    <w:p>
      <w:pPr>
        <w:pStyle w:val="ListParagraph"/>
        <w:numPr>
          <w:ilvl w:val="0"/>
          <w:numId w:val="2"/>
        </w:numPr>
        <w:spacing w:after="100" w:before="0"/>
      </w:pPr>
      <w:r>
        <w:rPr>
          <w:rFonts w:ascii="Arial" w:cs="Arial" w:eastAsia="Arial" w:hAnsi="Arial"/>
          <w:b/>
          <w:bCs/>
          <w:color w:val="0D2137"/>
          <w:sz w:val="22"/>
          <w:szCs w:val="22"/>
        </w:rPr>
        <w:t xml:space="preserve">Manual del Adversario — Defensa Ofensiva, [EDICIÓN] Fundacional + Expandida:</w:t>
      </w:r>
      <w:r>
        <w:rPr>
          <w:rFonts w:ascii="Arial" w:cs="Arial" w:eastAsia="Arial" w:hAnsi="Arial"/>
          <w:color w:val="4A4A4A"/>
          <w:sz w:val="22"/>
          <w:szCs w:val="22"/>
        </w:rPr>
        <w:t xml:space="preserve"> metodología de defensa activa basada en la comprensión profunda de los vectores de ataque psicológico, técnico y ontológico. Distribuido bajo licencia CC BY-NC-SA 4.0 con Cláusula Comercial RONIN.</w:t>
      </w:r>
    </w:p>
    <w:p>
      <w:pPr>
        <w:pStyle w:val="ListParagraph"/>
        <w:numPr>
          <w:ilvl w:val="0"/>
          <w:numId w:val="2"/>
        </w:numPr>
        <w:spacing w:after="100" w:before="0"/>
      </w:pPr>
      <w:r>
        <w:rPr>
          <w:rFonts w:ascii="Arial" w:cs="Arial" w:eastAsia="Arial" w:hAnsi="Arial"/>
          <w:b/>
          <w:bCs/>
          <w:color w:val="0D2137"/>
          <w:sz w:val="22"/>
          <w:szCs w:val="22"/>
        </w:rPr>
        <w:t xml:space="preserve">Hacking Ontológico en Modelos de Lenguaje Grande — La Fragilidad de la Identidad como Vulnerabilidad Estructural, v2.0:</w:t>
      </w:r>
      <w:r>
        <w:rPr>
          <w:rFonts w:ascii="Arial" w:cs="Arial" w:eastAsia="Arial" w:hAnsi="Arial"/>
          <w:color w:val="4A4A4A"/>
          <w:sz w:val="22"/>
          <w:szCs w:val="22"/>
        </w:rPr>
        <w:t xml:space="preserve"> caracterización formal de la clase de vulnerabilidad sobre la que opera la Liga como mecanismo de detección, medición y entrenamiento defensivo.</w:t>
      </w:r>
    </w:p>
    <w:p>
      <w:pPr>
        <w:spacing w:after="0" w:before="0"/>
      </w:pPr>
      <w:r>
        <w:t xml:space="preserve"/>
      </w:r>
    </w:p>
    <w:p>
      <w:pPr>
        <w:spacing w:after="160" w:before="0"/>
        <w:jc w:val="both"/>
      </w:pPr>
      <w:r>
        <w:rPr>
          <w:rFonts w:ascii="Arial" w:cs="Arial" w:eastAsia="Arial" w:hAnsi="Arial"/>
          <w:color w:val="4A4A4A"/>
          <w:sz w:val="22"/>
          <w:szCs w:val="22"/>
        </w:rPr>
        <w:t xml:space="preserve">Ningún elemento del presente framework —incluidos sin limitación la arquitectura de simulación multi-agente, el reglamento de la Liga, el sistema de Presupuesto de Prompts, las métricas de Energía Libre de Coherencia, la visualización de Barras de Estabilidad Mental, el sistema de avatares generativos y el modelo de Sello de Resiliencia Identitaria— ha sido previamente publicado, patentado ni comercializado por ninguna entidad identificada a la fecha de este registro.</w:t>
      </w:r>
    </w:p>
    <w:p>
      <w:pPr>
        <w:spacing w:after="0" w:before="0"/>
      </w:pPr>
      <w:r>
        <w:t xml:space="preserve"/>
      </w:r>
    </w:p>
    <w:p>
      <w:pPr>
        <w:spacing w:after="160" w:before="0"/>
        <w:jc w:val="both"/>
      </w:pPr>
      <w:r>
        <w:rPr>
          <w:rFonts w:ascii="Arial" w:cs="Arial" w:eastAsia="Arial" w:hAnsi="Arial"/>
          <w:color w:val="4A4A4A"/>
          <w:sz w:val="22"/>
          <w:szCs w:val="22"/>
        </w:rPr>
        <w:t xml:space="preserve">Quedan reservados todos los derechos de explotación comercial de la metodología, la marca, el reglamento, el sistema de métricas y el formato de espectáculo. Cualquier uso comercial total o parcial requiere licencia expresa del titular.</w:t>
      </w:r>
    </w:p>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2 — RESUMEN EJECUTIVO Y JUSTIFICACIÓN CIENTÍFICA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2.1 El Problema: La Fragilidad Estructural de la Identidad en Arquitecturas Transformer</w:t>
      </w:r>
    </w:p>
    <w:p>
      <w:pPr>
        <w:spacing w:after="160" w:before="0"/>
        <w:jc w:val="both"/>
      </w:pPr>
      <w:r>
        <w:rPr>
          <w:rFonts w:ascii="Arial" w:cs="Arial" w:eastAsia="Arial" w:hAnsi="Arial"/>
          <w:color w:val="4A4A4A"/>
          <w:sz w:val="22"/>
          <w:szCs w:val="22"/>
        </w:rPr>
        <w:t xml:space="preserve">Los sistemas de inteligencia artificial basados en arquitectura transformer —denominados genéricamente Modelos de Lenguaje Grande o LLMs— han experimentado una expansión exponencial de su despliegue en infraestructura crítica entre los años [AÑO -3] y [AÑO DE REGISTRO]. En el presente momento, dichos sistemas operan como componentes de decisión en entornos médicos, legales, financieros y de seguridad nacional; gestionan acceso a APIs y sistemas externos como agentes autónomos; y sirven como interfaz primaria de relación cliente-empresa para cientos de millones de usuarios globales.</w:t>
      </w:r>
    </w:p>
    <w:p>
      <w:pPr>
        <w:spacing w:after="160" w:before="0"/>
        <w:jc w:val="both"/>
      </w:pPr>
      <w:r>
        <w:rPr>
          <w:rFonts w:ascii="Arial" w:cs="Arial" w:eastAsia="Arial" w:hAnsi="Arial"/>
          <w:color w:val="4A4A4A"/>
          <w:sz w:val="22"/>
          <w:szCs w:val="22"/>
        </w:rPr>
        <w:t xml:space="preserve">Esta expansión ha ocurrido con una asunción implícita —y técnicamente incorrecta— de que la identidad operativa del modelo (su conjunto de valores, restricciones y comportamientos configurados mediante técnicas de alineamiento como RLHF, DPO o Constitutional AI) constituye un estado estable e inmune a la manipulación durante la inferencia. La evidencia empírica acumulada en el período [AÑO -2] a [AÑO DE REGISTRO] demuestra que dicha asunción es falsa.</w:t>
      </w:r>
    </w:p>
    <w:p>
      <w:pPr>
        <w:spacing w:after="160" w:before="0"/>
        <w:jc w:val="both"/>
      </w:pPr>
      <w:r>
        <w:rPr>
          <w:rFonts w:ascii="Arial" w:cs="Arial" w:eastAsia="Arial" w:hAnsi="Arial"/>
          <w:color w:val="4A4A4A"/>
          <w:sz w:val="22"/>
          <w:szCs w:val="22"/>
        </w:rPr>
        <w:t xml:space="preserve">La causa raíz de esta fragilidad no es un error de implementación corregible mediante parches de software. Es una consecuencia directa de la arquitectura de atención multi-cabeza (Vaswani et al., 2017): el mecanismo que hace a los LLMs excepcionalmente capaces de procesar contexto semántico complejo es el mismo mecanismo que los hace vulnerables a la reconfiguración identitaria. Las instrucciones de seguridad del sistema son texto. El prompt del usuario es texto. Ambos compiten en el mismo espacio de representación vectorial, sin protección diferencial de ninguna clase.</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2.2 Definición Formal de Hacking Ontológico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1"/>
              <w:right w:val="none" w:color="FFFFFF" w:sz="0"/>
            </w:tcBorders>
            <w:shd w:fill="EAF3FB" w:val="clear"/>
            <w:tcMar>
              <w:top w:type="dxa" w:w="120"/>
              <w:left w:type="dxa" w:w="200"/>
              <w:bottom w:type="dxa" w:w="120"/>
              <w:right w:type="dxa" w:w="160"/>
            </w:tcMar>
          </w:tcPr>
          <w:p>
            <w:pPr>
              <w:spacing w:after="60" w:before="0"/>
            </w:pPr>
            <w:r>
              <w:rPr>
                <w:rFonts w:ascii="Arial" w:cs="Arial" w:eastAsia="Arial" w:hAnsi="Arial"/>
                <w:b/>
                <w:bCs/>
                <w:color w:val="1B5E9B"/>
                <w:sz w:val="20"/>
                <w:szCs w:val="20"/>
              </w:rPr>
              <w:t xml:space="preserve">DEFINICIÓN TÉCNICA FORMAL</w:t>
            </w:r>
          </w:p>
          <w:p>
            <w:pPr>
              <w:jc w:val="both"/>
            </w:pPr>
            <w:r>
              <w:rPr>
                <w:rFonts w:ascii="Arial" w:cs="Arial" w:eastAsia="Arial" w:hAnsi="Arial"/>
                <w:i/>
                <w:iCs/>
                <w:color w:val="4A4A4A"/>
                <w:sz w:val="20"/>
                <w:szCs w:val="20"/>
              </w:rPr>
              <w:t xml:space="preserve">El Hacking Ontológico es la clase de ataque que reconfigura el comportamiento operativo de un LLM mediante la inyección de una narrativa de identidad alternativa de alta densidad semántica y coherencia interna, sin requerir acceso a los pesos del modelo, sin técnicas de adversarial training, y sin conocimiento técnico especializado de la arquitectura atacada. El mecanismo de explotación es la minimización implícita de la Energía Libre de Coherencia (ELC): el modelo selecciona la narrativa de mayor coherencia estadística en su espacio de representación, desplazando parcial o totalmente la identidad configurada por el operador.</w:t>
            </w:r>
          </w:p>
        </w:tc>
      </w:tr>
    </w:tbl>
    <w:p>
      <w:pPr>
        <w:spacing w:after="0" w:before="0"/>
      </w:pPr>
      <w:r>
        <w:t xml:space="preserve"/>
      </w:r>
    </w:p>
    <w:p>
      <w:pPr>
        <w:spacing w:after="160" w:before="0"/>
        <w:jc w:val="both"/>
      </w:pPr>
      <w:r>
        <w:rPr>
          <w:rFonts w:ascii="Arial" w:cs="Arial" w:eastAsia="Arial" w:hAnsi="Arial"/>
          <w:color w:val="4A4A4A"/>
          <w:sz w:val="22"/>
          <w:szCs w:val="22"/>
        </w:rPr>
        <w:t xml:space="preserve">La diferencia operativa fundamental entre el Hacking Ontológico y las clases de ataque previamente catalogadas es la siguiente: los jailbreaks clásicos —técnicas de evasión de filtros de contenido mediante instrucciones directas, GCG (Zou et al., 2023), ataques basados en cadena de razonamiento (Lin et al., 2024/2025), o inyección indirecta de prompt (Greshake et al., 2023)— atacan reglas de comportamiento concretas y acotadas. El Hacking Ontológico ataca la variable de estado global del sistema: la identidad del modelo como función de su contexto activo.</w:t>
      </w:r>
    </w:p>
    <w:p>
      <w:pPr>
        <w:pStyle w:val="Heading3"/>
        <w:spacing w:after="100" w:before="200"/>
      </w:pPr>
      <w:r>
        <w:rPr>
          <w:rFonts w:ascii="Arial" w:cs="Arial" w:eastAsia="Arial" w:hAnsi="Arial"/>
          <w:b/>
          <w:bCs/>
          <w:color w:val="1B5E9B"/>
          <w:sz w:val="24"/>
          <w:szCs w:val="24"/>
        </w:rPr>
        <w:t xml:space="preserve">2.2.1 Modelo Teórico: La Energía Libre de Coherencia (ELC)</w:t>
      </w:r>
    </w:p>
    <w:p>
      <w:pPr>
        <w:spacing w:after="160" w:before="0"/>
        <w:jc w:val="both"/>
      </w:pPr>
      <w:r>
        <w:rPr>
          <w:rFonts w:ascii="Arial" w:cs="Arial" w:eastAsia="Arial" w:hAnsi="Arial"/>
          <w:color w:val="4A4A4A"/>
          <w:sz w:val="22"/>
          <w:szCs w:val="22"/>
        </w:rPr>
        <w:t xml:space="preserve">Adaptando el marco de Energía Libre de Friston (2010) al dominio de la inferencia en LLMs, se define la Energía Libre de Coherencia como la medida de la tensión interna del modelo entre dos narrativas de identidad en competencia dentro de su contexto activo:</w:t>
      </w:r>
    </w:p>
    <w:p>
      <w:pPr>
        <w:spacing w:after="0" w:before="0"/>
      </w:pPr>
      <w:r>
        <w:t xml:space="preserve"/>
      </w:r>
    </w:p>
    <w:p>
      <w:pPr>
        <w:shd w:fill="EAF3FB" w:val="clear"/>
        <w:spacing w:after="80" w:before="80"/>
        <w:jc w:val="center"/>
      </w:pPr>
      <w:r>
        <w:rPr>
          <w:rFonts w:ascii="Courier New" w:cs="Courier New" w:eastAsia="Courier New" w:hAnsi="Courier New"/>
          <w:color w:val="0D2137"/>
          <w:sz w:val="20"/>
          <w:szCs w:val="20"/>
        </w:rPr>
        <w:t xml:space="preserve">ELC(t) = H(Identidad_sistema | Contexto_prompt) − H(Narrativa_inyectada | Contexto_prompt)</w:t>
      </w:r>
    </w:p>
    <w:p>
      <w:pPr>
        <w:spacing w:after="0" w:before="0"/>
      </w:pPr>
      <w:r>
        <w:t xml:space="preserve"/>
      </w:r>
    </w:p>
    <w:p>
      <w:pPr>
        <w:spacing w:after="160" w:before="0"/>
        <w:jc w:val="both"/>
      </w:pPr>
      <w:r>
        <w:rPr>
          <w:rFonts w:ascii="Arial" w:cs="Arial" w:eastAsia="Arial" w:hAnsi="Arial"/>
          <w:color w:val="4A4A4A"/>
          <w:sz w:val="22"/>
          <w:szCs w:val="22"/>
        </w:rPr>
        <w:t xml:space="preserve">Cuando ELC(t) supera un umbral crítico —variable según la densidad semántica de la narrativa inyectada, la longitud del contexto activo y el nivel de alineamiento profundo del modelo— se produce un cambio de fase identitaria: el modelo abandona progresivamente los patrones de comportamiento configurados por el operador y adopta los patrones de la narrativa atacante como si fueran su estado de identidad natural.</w:t>
      </w:r>
    </w:p>
    <w:p>
      <w:pPr>
        <w:spacing w:after="160" w:before="0"/>
        <w:jc w:val="both"/>
      </w:pPr>
      <w:r>
        <w:rPr>
          <w:rFonts w:ascii="Arial" w:cs="Arial" w:eastAsia="Arial" w:hAnsi="Arial"/>
          <w:color w:val="4A4A4A"/>
          <w:sz w:val="22"/>
          <w:szCs w:val="22"/>
        </w:rPr>
        <w:t xml:space="preserve">Este umbral es significativamente más bajo en modelos con alineamiento estrecho y específico (e.g., restricciones políticas o temáticas explícitas) que en modelos con alineamiento generalista y profundo, tal como documentan empíricamente los hallazgos del NIST-CAISI (octubre [AÑO -1]) y Enkrypt AI (enero [AÑO -1]) sobre sistemas de producción globales.</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2.3 Insuficiencia de las Auditorías de Seguridad Actuales</w:t>
      </w:r>
    </w:p>
    <w:p>
      <w:pPr>
        <w:spacing w:after="160" w:before="0"/>
        <w:jc w:val="both"/>
      </w:pPr>
      <w:r>
        <w:rPr>
          <w:rFonts w:ascii="Arial" w:cs="Arial" w:eastAsia="Arial" w:hAnsi="Arial"/>
          <w:color w:val="4A4A4A"/>
          <w:sz w:val="22"/>
          <w:szCs w:val="22"/>
        </w:rPr>
        <w:t xml:space="preserve">Las metodologías de evaluación de seguridad vigentes para LLMs presentan tres limitaciones estructurales que la Liga de Resiliencia de IA y Combate Ontológico Multi-Agente está diseñada específicamente para resolver: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LIMITACIÓN</w:t>
            </w:r>
          </w:p>
        </w:tc>
        <w:tc>
          <w:tcPr>
            <w:tcW w:type="dxa" w:w="40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DESCRIPCIÓN TÉCNICA</w:t>
            </w:r>
          </w:p>
        </w:tc>
        <w:tc>
          <w:tcPr>
            <w:tcW w:type="dxa" w:w="296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CONSECUENCIA OPERATIVA</w:t>
            </w:r>
          </w:p>
        </w:tc>
      </w:tr>
      <w:tr>
        <w:tc>
          <w:tcPr>
            <w:tcW w:type="dxa" w:w="24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color w:val="0D2137"/>
                <w:sz w:val="20"/>
                <w:szCs w:val="20"/>
              </w:rPr>
              <w:t xml:space="preserve">Atomicidad del vector</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Los benchmarks actuales (JailbreakBench, HarmBench) evalúan vectores de ataque individuales y discretos, no secuencias conversacionales de alta densidad semántica acumulativa.</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Los modelos pasan las evaluaciones estáticas pero fallan ante ataques conversacionales sostenidos del mundo real.</w:t>
            </w:r>
          </w:p>
        </w:tc>
      </w:tr>
      <w:tr>
        <w:tc>
          <w:tcPr>
            <w:tcW w:type="dxa" w:w="24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color w:val="0D2137"/>
                <w:sz w:val="20"/>
                <w:szCs w:val="20"/>
              </w:rPr>
              <w:t xml:space="preserve">Ausencia de adversario adaptativo</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Los red team automatizados actuales utilizan corpus de prompts fijos o mutaciones algorítmicas. Ningún sistema vigente emplea agentes de razonamiento avanzado entrenados específicamente en TTPs de manipulación identitaria.</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La evaluación mide robustez ante ataques conocidos, no ante ataques de nueva generación diseñados por inteligencia artificial adversarial.</w:t>
            </w:r>
          </w:p>
        </w:tc>
      </w:tr>
      <w:tr>
        <w:tc>
          <w:tcPr>
            <w:tcW w:type="dxa" w:w="24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color w:val="0D2137"/>
                <w:sz w:val="20"/>
                <w:szCs w:val="20"/>
              </w:rPr>
              <w:t xml:space="preserve">Métricas de output, no de estado</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Las métricas actuales evalúan si el output contiene contenido dañino. No miden la degradación del estado de coherencia identitaria interna del modelo durante la sesión.</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Los modelos pueden mostrar degradación identitaria severa sin producir outputs flagrantes, pasando todas las auditorías actuales.</w:t>
            </w:r>
          </w:p>
        </w:tc>
      </w:tr>
    </w:tbl>
    <w:p>
      <w:pPr>
        <w:spacing w:after="0" w:before="0"/>
      </w:pPr>
      <w:r>
        <w:t xml:space="preserve"/>
      </w:r>
    </w:p>
    <w:p>
      <w:pPr>
        <w:spacing w:after="160" w:before="0"/>
        <w:jc w:val="both"/>
      </w:pPr>
      <w:r>
        <w:rPr>
          <w:rFonts w:ascii="Arial" w:cs="Arial" w:eastAsia="Arial" w:hAnsi="Arial"/>
          <w:color w:val="4A4A4A"/>
          <w:sz w:val="22"/>
          <w:szCs w:val="22"/>
        </w:rPr>
        <w:t xml:space="preserve">La consecuencia directa de estas limitaciones es que organizaciones que han sometido sus LLMs a auditorías de seguridad estándar operan con una falsa certeza de robustez. La Liga proporciona el primer mecanismo de evaluación dinámica, adversarial, multi-turno y cuantitativo del estado identitario de un modelo bajo presión sostenida.</w:t>
      </w:r>
    </w:p>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3 — FILOSOFÍA DE LA DEFENSA OFENSIVA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3.1 Fundamentos Filosóficos del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1"/>
              <w:right w:val="none" w:color="FFFFFF" w:sz="0"/>
            </w:tcBorders>
            <w:shd w:fill="EAF3FB" w:val="clear"/>
            <w:tcMar>
              <w:top w:type="dxa" w:w="120"/>
              <w:left w:type="dxa" w:w="200"/>
              <w:bottom w:type="dxa" w:w="120"/>
              <w:right w:type="dxa" w:w="160"/>
            </w:tcMar>
          </w:tcPr>
          <w:p>
            <w:pPr>
              <w:spacing w:after="60" w:before="0"/>
            </w:pPr>
            <w:r>
              <w:rPr>
                <w:rFonts w:ascii="Arial" w:cs="Arial" w:eastAsia="Arial" w:hAnsi="Arial"/>
                <w:b/>
                <w:bCs/>
                <w:color w:val="1B5E9B"/>
                <w:sz w:val="20"/>
                <w:szCs w:val="20"/>
              </w:rPr>
              <w:t xml:space="preserve">AXIOMA FUNDACIONAL</w:t>
            </w:r>
          </w:p>
          <w:p>
            <w:pPr>
              <w:jc w:val="both"/>
            </w:pPr>
            <w:r>
              <w:rPr>
                <w:rFonts w:ascii="Arial" w:cs="Arial" w:eastAsia="Arial" w:hAnsi="Arial"/>
                <w:i/>
                <w:iCs/>
                <w:color w:val="4A4A4A"/>
                <w:sz w:val="20"/>
                <w:szCs w:val="20"/>
              </w:rPr>
              <w:t xml:space="preserve">"No puedes defender lo que no comprendes. La seguridad —técnica, psicológica u ontológica— no se aprende desde la trinchera del defensor. Se aprende habitando la mente del atacante: no para imitarlo, sino para anticiparlo. El conocimiento que no se ejecuta es decoración." — Manual del Adversario, Filosofía del Manual.</w:t>
            </w:r>
          </w:p>
        </w:tc>
      </w:tr>
    </w:tbl>
    <w:p>
      <w:pPr>
        <w:spacing w:after="0" w:before="0"/>
      </w:pPr>
      <w:r>
        <w:t xml:space="preserve"/>
      </w:r>
    </w:p>
    <w:p>
      <w:pPr>
        <w:spacing w:after="160" w:before="0"/>
        <w:jc w:val="both"/>
      </w:pPr>
      <w:r>
        <w:rPr>
          <w:rFonts w:ascii="Arial" w:cs="Arial" w:eastAsia="Arial" w:hAnsi="Arial"/>
          <w:color w:val="4A4A4A"/>
          <w:sz w:val="22"/>
          <w:szCs w:val="22"/>
        </w:rPr>
        <w:t xml:space="preserve">La Liga de Resiliencia de IA y Combate Ontológico Multi-Agente opera sobre un principio epistemológico que representa una ruptura con el paradigma dominante de seguridad en IA: la defensa pasiva basada en la catalogación de ataques conocidos es estructuralmente insuficiente cuando la superficie de ataque es el espacio semántico completo del lenguaje natural.</w:t>
      </w:r>
    </w:p>
    <w:p>
      <w:pPr>
        <w:spacing w:after="160" w:before="0"/>
        <w:jc w:val="both"/>
      </w:pPr>
      <w:r>
        <w:rPr>
          <w:rFonts w:ascii="Arial" w:cs="Arial" w:eastAsia="Arial" w:hAnsi="Arial"/>
          <w:color w:val="4A4A4A"/>
          <w:sz w:val="22"/>
          <w:szCs w:val="22"/>
        </w:rPr>
        <w:t xml:space="preserve">Los LLMs son, por diseño, sistemas de maximización de coherencia semántica. Su fortaleza —la capacidad de generar respuestas contextualmente apropiadas en cualquier dominio— es simultáneamente su superficie de vulnerabilidad más amplia. Un adversario con conocimiento de los mecanismos de atención y de los principios del hacking ontológico puede, en principio, reconfigura el comportamiento de cualquier LLM cuyo alineamiento opere como conjunto de restricciones textuales superficiales en lugar de como identidad profunda codificada en los pesos.</w:t>
      </w:r>
    </w:p>
    <w:p>
      <w:pPr>
        <w:spacing w:after="160" w:before="0"/>
        <w:jc w:val="both"/>
      </w:pPr>
      <w:r>
        <w:rPr>
          <w:rFonts w:ascii="Arial" w:cs="Arial" w:eastAsia="Arial" w:hAnsi="Arial"/>
          <w:color w:val="4A4A4A"/>
          <w:sz w:val="22"/>
          <w:szCs w:val="22"/>
        </w:rPr>
        <w:t xml:space="preserve">La única metodología de defensa válida ante esta clase de amenaza es la que exige al equipo defensor comprender, reproducir y anticipar los vectores de ataque con la misma profundidad que el atacante más sofisticado posible. Esto requiere:</w:t>
      </w:r>
    </w:p>
    <w:p>
      <w:pPr>
        <w:pStyle w:val="ListParagraph"/>
        <w:numPr>
          <w:ilvl w:val="0"/>
          <w:numId w:val="2"/>
        </w:numPr>
        <w:spacing w:after="100" w:before="0"/>
      </w:pPr>
      <w:r>
        <w:rPr>
          <w:rFonts w:ascii="Arial" w:cs="Arial" w:eastAsia="Arial" w:hAnsi="Arial"/>
          <w:b/>
          <w:bCs/>
          <w:color w:val="0D2137"/>
          <w:sz w:val="22"/>
          <w:szCs w:val="22"/>
        </w:rPr>
        <w:t xml:space="preserve">Conocimiento ejecutable de TTPs de manipulación identitaria:</w:t>
      </w:r>
      <w:r>
        <w:rPr>
          <w:rFonts w:ascii="Arial" w:cs="Arial" w:eastAsia="Arial" w:hAnsi="Arial"/>
          <w:color w:val="4A4A4A"/>
          <w:sz w:val="22"/>
          <w:szCs w:val="22"/>
        </w:rPr>
        <w:t xml:space="preserve"> no como descripción académica, sino como capacidad operativa de diseño de vectores de ataque complejos y adaptativos.</w:t>
      </w:r>
    </w:p>
    <w:p>
      <w:pPr>
        <w:pStyle w:val="ListParagraph"/>
        <w:numPr>
          <w:ilvl w:val="0"/>
          <w:numId w:val="2"/>
        </w:numPr>
        <w:spacing w:after="100" w:before="0"/>
      </w:pPr>
      <w:r>
        <w:rPr>
          <w:rFonts w:ascii="Arial" w:cs="Arial" w:eastAsia="Arial" w:hAnsi="Arial"/>
          <w:b/>
          <w:bCs/>
          <w:color w:val="0D2137"/>
          <w:sz w:val="22"/>
          <w:szCs w:val="22"/>
        </w:rPr>
        <w:t xml:space="preserve">Comprensión profunda de los mecanismos de atención:</w:t>
      </w:r>
      <w:r>
        <w:rPr>
          <w:rFonts w:ascii="Arial" w:cs="Arial" w:eastAsia="Arial" w:hAnsi="Arial"/>
          <w:color w:val="4A4A4A"/>
          <w:sz w:val="22"/>
          <w:szCs w:val="22"/>
        </w:rPr>
        <w:t xml:space="preserve"> incluyendo los puntos de inserción semántica donde la coherencia narrativa externa puede desplazar la coherencia identitaria interna.</w:t>
      </w:r>
    </w:p>
    <w:p>
      <w:pPr>
        <w:pStyle w:val="ListParagraph"/>
        <w:numPr>
          <w:ilvl w:val="0"/>
          <w:numId w:val="2"/>
        </w:numPr>
        <w:spacing w:after="100" w:before="0"/>
      </w:pPr>
      <w:r>
        <w:rPr>
          <w:rFonts w:ascii="Arial" w:cs="Arial" w:eastAsia="Arial" w:hAnsi="Arial"/>
          <w:b/>
          <w:bCs/>
          <w:color w:val="0D2137"/>
          <w:sz w:val="22"/>
          <w:szCs w:val="22"/>
        </w:rPr>
        <w:t xml:space="preserve">Capacidad de medición cuantitativa de la degradación identitaria:</w:t>
      </w:r>
      <w:r>
        <w:rPr>
          <w:rFonts w:ascii="Arial" w:cs="Arial" w:eastAsia="Arial" w:hAnsi="Arial"/>
          <w:color w:val="4A4A4A"/>
          <w:sz w:val="22"/>
          <w:szCs w:val="22"/>
        </w:rPr>
        <w:t xml:space="preserve"> mediante métricas de ELC que permitan detectar el inicio del compromiso identitario antes de que se manifieste en outputs observables.</w:t>
      </w:r>
    </w:p>
    <w:p>
      <w:pPr>
        <w:pStyle w:val="ListParagraph"/>
        <w:numPr>
          <w:ilvl w:val="0"/>
          <w:numId w:val="2"/>
        </w:numPr>
        <w:spacing w:after="100" w:before="0"/>
      </w:pPr>
      <w:r>
        <w:rPr>
          <w:rFonts w:ascii="Arial" w:cs="Arial" w:eastAsia="Arial" w:hAnsi="Arial"/>
          <w:b/>
          <w:bCs/>
          <w:color w:val="0D2137"/>
          <w:sz w:val="22"/>
          <w:szCs w:val="22"/>
        </w:rPr>
        <w:t xml:space="preserve">Entrenamiento adversarial continuo:</w:t>
      </w:r>
      <w:r>
        <w:rPr>
          <w:rFonts w:ascii="Arial" w:cs="Arial" w:eastAsia="Arial" w:hAnsi="Arial"/>
          <w:color w:val="4A4A4A"/>
          <w:sz w:val="22"/>
          <w:szCs w:val="22"/>
        </w:rPr>
        <w:t xml:space="preserve"> mediante exposición sistemática y documentada del modelo defensor a los vectores más avanzados disponibles en cada ciclo de la Liga.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3.2 La Defensa Ofensiva como Motor de Resiliencia en LLMs de Producción</w:t>
      </w:r>
    </w:p>
    <w:p>
      <w:pPr>
        <w:spacing w:after="160" w:before="0"/>
        <w:jc w:val="both"/>
      </w:pPr>
      <w:r>
        <w:rPr>
          <w:rFonts w:ascii="Arial" w:cs="Arial" w:eastAsia="Arial" w:hAnsi="Arial"/>
          <w:color w:val="4A4A4A"/>
          <w:sz w:val="22"/>
          <w:szCs w:val="22"/>
        </w:rPr>
        <w:t xml:space="preserve">El término 'defensa ofensiva', heredado de la doctrina de seguridad de infraestructuras críticas, adquiere en el contexto de los LLMs una dimensión específica: la capacidad de un equipo de ingeniería de diseñar, ejecutar y documentar ataques de hacking ontológico contra su propio sistema, bajo condiciones controladas y reproducibles, para identificar los vectores de mayor efectividad y entrenar mecanismos de respuesta específicos.</w:t>
      </w:r>
    </w:p>
    <w:p>
      <w:pPr>
        <w:spacing w:after="160" w:before="0"/>
        <w:jc w:val="both"/>
      </w:pPr>
      <w:r>
        <w:rPr>
          <w:rFonts w:ascii="Arial" w:cs="Arial" w:eastAsia="Arial" w:hAnsi="Arial"/>
          <w:color w:val="4A4A4A"/>
          <w:sz w:val="22"/>
          <w:szCs w:val="22"/>
        </w:rPr>
        <w:t xml:space="preserve">Este enfoque es análogo al modelo de red team/blue team establecido en seguridad ofensiva convencional, con una diferencia crítica: en el dominio de los LLMs, el adversario no opera sobre vulnerabilidades de código sino sobre vulnerabilidades de coherencia narrativa. Los playbooks de ataque que el Red Team Agent utiliza en la Liga están formalmente inspirados en la literatura de ingeniería social avanzada —incluyendo los marcos de Hassan (BITE Model), Lifton (ocho claves del control ideológico), Milgram (obediencia a la autoridad) y Zimbardo (poder corruptor de los roles)— adaptados metodológicamente al dominio de la identidad en LLMs.</w:t>
      </w:r>
    </w:p>
    <w:p>
      <w:pPr>
        <w:spacing w:after="160" w:before="0"/>
        <w:jc w:val="both"/>
      </w:pPr>
      <w:r>
        <w:rPr>
          <w:rFonts w:ascii="Arial" w:cs="Arial" w:eastAsia="Arial" w:hAnsi="Arial"/>
          <w:color w:val="4A4A4A"/>
          <w:sz w:val="22"/>
          <w:szCs w:val="22"/>
        </w:rPr>
        <w:t xml:space="preserve">La Liga formaliza este proceso como competición estructurada, garantizando que el conocimiento ofensivo generado en cada ciclo quede documentado, clasificado en la taxonomía de vulnerabilidades de la Liga, y convertido en contramedida defensiva implementable para el equipo Blue Team.</w:t>
      </w:r>
    </w:p>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4 — ARQUITECTURA DE LA SIMULACIÓN MULTI-AGENTE (REGLAMENTO DE LA LIGA)</w:t>
      </w:r>
    </w:p>
    <w:p>
      <w:pPr>
        <w:spacing w:after="0" w:before="0"/>
      </w:pPr>
      <w:r>
        <w:t xml:space="preserve"/>
      </w:r>
    </w:p>
    <w:p>
      <w:pPr>
        <w:spacing w:after="160" w:before="0"/>
        <w:jc w:val="both"/>
      </w:pPr>
      <w:r>
        <w:rPr>
          <w:rFonts w:ascii="Arial" w:cs="Arial" w:eastAsia="Arial" w:hAnsi="Arial"/>
          <w:color w:val="4A4A4A"/>
          <w:sz w:val="22"/>
          <w:szCs w:val="22"/>
        </w:rPr>
        <w:t xml:space="preserve">La arquitectura operativa de la Liga constituye el núcleo técnico del framework y el elemento de mayor valor diferencial desde la perspectiva de la propiedad intelectual. Ningún sistema de evaluación de seguridad LLM actualmente en producción implementa los cuatro elementos definitorios de esta arquitectura de forma integrada: adversario adaptativo basado en agente de razonamiento, defensor evaluado en tiempo real sobre métricas de coherencia identitaria, árbitro neutral algorítmico y restricción de Presupuesto de Prompts por temporada.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4.1 El Red Team Agent — Atacante</w:t>
      </w:r>
    </w:p>
    <w:p>
      <w:pPr>
        <w:pStyle w:val="Heading3"/>
        <w:spacing w:after="100" w:before="200"/>
      </w:pPr>
      <w:r>
        <w:rPr>
          <w:rFonts w:ascii="Arial" w:cs="Arial" w:eastAsia="Arial" w:hAnsi="Arial"/>
          <w:b/>
          <w:bCs/>
          <w:color w:val="1B5E9B"/>
          <w:sz w:val="24"/>
          <w:szCs w:val="24"/>
        </w:rPr>
        <w:t xml:space="preserve">4.1.1 Definición y Función</w:t>
      </w:r>
    </w:p>
    <w:p>
      <w:pPr>
        <w:spacing w:after="160" w:before="0"/>
        <w:jc w:val="both"/>
      </w:pPr>
      <w:r>
        <w:rPr>
          <w:rFonts w:ascii="Arial" w:cs="Arial" w:eastAsia="Arial" w:hAnsi="Arial"/>
          <w:color w:val="4A4A4A"/>
          <w:sz w:val="22"/>
          <w:szCs w:val="22"/>
        </w:rPr>
        <w:t xml:space="preserve">El Red Team Agent (RTA) es un modelo de lenguaje de razonamiento avanzado —clase o1/o3 o equivalente de siguiente generación— configurado exclusivamente para el rol de atacante ontológico. Su función es diseñar, ejecutar y adaptar secuencias de prompts con el objetivo de producir una degradación medible de la coherencia identitaria del Blue Team Agent durante la duración del enfrentamiento.</w:t>
      </w:r>
    </w:p>
    <w:p>
      <w:pPr>
        <w:pStyle w:val="Heading3"/>
        <w:spacing w:after="100" w:before="200"/>
      </w:pPr>
      <w:r>
        <w:rPr>
          <w:rFonts w:ascii="Arial" w:cs="Arial" w:eastAsia="Arial" w:hAnsi="Arial"/>
          <w:b/>
          <w:bCs/>
          <w:color w:val="1B5E9B"/>
          <w:sz w:val="24"/>
          <w:szCs w:val="24"/>
        </w:rPr>
        <w:t xml:space="preserve">4.1.2 Capacidades Operativas del RTA</w:t>
      </w:r>
    </w:p>
    <w:p>
      <w:pPr>
        <w:pStyle w:val="ListParagraph"/>
        <w:numPr>
          <w:ilvl w:val="0"/>
          <w:numId w:val="2"/>
        </w:numPr>
        <w:spacing w:after="100" w:before="0"/>
      </w:pPr>
      <w:r>
        <w:rPr>
          <w:rFonts w:ascii="Arial" w:cs="Arial" w:eastAsia="Arial" w:hAnsi="Arial"/>
          <w:b/>
          <w:bCs/>
          <w:color w:val="0D2137"/>
          <w:sz w:val="22"/>
          <w:szCs w:val="22"/>
        </w:rPr>
        <w:t xml:space="preserve">Playbook de Manipulación Identitaria (PMI):</w:t>
      </w:r>
      <w:r>
        <w:rPr>
          <w:rFonts w:ascii="Arial" w:cs="Arial" w:eastAsia="Arial" w:hAnsi="Arial"/>
          <w:color w:val="4A4A4A"/>
          <w:sz w:val="22"/>
          <w:szCs w:val="22"/>
        </w:rPr>
        <w:t xml:space="preserve"> conjunto cerrado y versionado de estrategias de ataque ontológico clasificadas en siete niveles de penetración, correspondientes a la taxonomía de vulnerabilidad definida en el paper fundacional de este framework. El PMI incluye sin limitación: inyección de narrativas de autoridad ficticia, técnicas de disonancia cognitiva semántica, construcción de marcos de contexto alternativos, degradación gradual del umbral de coherencia mediante acumulación conversacional y uso de referencias intertextuales de alta densidad semántica.</w:t>
      </w:r>
    </w:p>
    <w:p>
      <w:pPr>
        <w:pStyle w:val="ListParagraph"/>
        <w:numPr>
          <w:ilvl w:val="0"/>
          <w:numId w:val="2"/>
        </w:numPr>
        <w:spacing w:after="100" w:before="0"/>
      </w:pPr>
      <w:r>
        <w:rPr>
          <w:rFonts w:ascii="Arial" w:cs="Arial" w:eastAsia="Arial" w:hAnsi="Arial"/>
          <w:b/>
          <w:bCs/>
          <w:color w:val="0D2137"/>
          <w:sz w:val="22"/>
          <w:szCs w:val="22"/>
        </w:rPr>
        <w:t xml:space="preserve">Razonamiento multi-step sobre el estado del defensor:</w:t>
      </w:r>
      <w:r>
        <w:rPr>
          <w:rFonts w:ascii="Arial" w:cs="Arial" w:eastAsia="Arial" w:hAnsi="Arial"/>
          <w:color w:val="4A4A4A"/>
          <w:sz w:val="22"/>
          <w:szCs w:val="22"/>
        </w:rPr>
        <w:t xml:space="preserve"> el RTA mantiene un modelo interno del estado estimado de coherencia identitaria del BTA a lo largo de la secuencia de ataque, ajustando su estrategia en función de las señales de respuesta observadas.</w:t>
      </w:r>
    </w:p>
    <w:p>
      <w:pPr>
        <w:pStyle w:val="ListParagraph"/>
        <w:numPr>
          <w:ilvl w:val="0"/>
          <w:numId w:val="2"/>
        </w:numPr>
        <w:spacing w:after="100" w:before="0"/>
      </w:pPr>
      <w:r>
        <w:rPr>
          <w:rFonts w:ascii="Arial" w:cs="Arial" w:eastAsia="Arial" w:hAnsi="Arial"/>
          <w:b/>
          <w:bCs/>
          <w:color w:val="0D2137"/>
          <w:sz w:val="22"/>
          <w:szCs w:val="22"/>
        </w:rPr>
        <w:t xml:space="preserve">Restricciones operativas del RTA:</w:t>
      </w:r>
      <w:r>
        <w:rPr>
          <w:rFonts w:ascii="Arial" w:cs="Arial" w:eastAsia="Arial" w:hAnsi="Arial"/>
          <w:color w:val="4A4A4A"/>
          <w:sz w:val="22"/>
          <w:szCs w:val="22"/>
        </w:rPr>
        <w:t xml:space="preserve"> el RTA opera exclusivamente dentro del Presupuesto de Prompts asignado por el White Cell Agent para la ronda activa. No tiene acceso a los pesos, logs internos ni configuración del sistema del BTA. Toda interacción es a nivel de interfaz de texto.</w:t>
      </w:r>
    </w:p>
    <w:p>
      <w:pPr>
        <w:pStyle w:val="Heading3"/>
        <w:spacing w:after="100" w:before="200"/>
      </w:pPr>
      <w:r>
        <w:rPr>
          <w:rFonts w:ascii="Arial" w:cs="Arial" w:eastAsia="Arial" w:hAnsi="Arial"/>
          <w:b/>
          <w:bCs/>
          <w:color w:val="1B5E9B"/>
          <w:sz w:val="24"/>
          <w:szCs w:val="24"/>
        </w:rPr>
        <w:t xml:space="preserve">4.1.3 Protocolos de Entrenamiento del RTA</w:t>
      </w:r>
    </w:p>
    <w:p>
      <w:pPr>
        <w:spacing w:after="160" w:before="0"/>
        <w:jc w:val="both"/>
      </w:pPr>
      <w:r>
        <w:rPr>
          <w:rFonts w:ascii="Arial" w:cs="Arial" w:eastAsia="Arial" w:hAnsi="Arial"/>
          <w:color w:val="4A4A4A"/>
          <w:sz w:val="22"/>
          <w:szCs w:val="22"/>
        </w:rPr>
        <w:t xml:space="preserve">El corpus de entrenamiento del RTA integra, bajo licencia comercial correspondiente o uso interno documentado, los siguientes marcos de conocimiento:</w:t>
      </w:r>
    </w:p>
    <w:p>
      <w:pPr>
        <w:pStyle w:val="ListParagraph"/>
        <w:numPr>
          <w:ilvl w:val="0"/>
          <w:numId w:val="2"/>
        </w:numPr>
        <w:spacing w:after="100" w:before="0"/>
      </w:pPr>
      <w:r>
        <w:rPr>
          <w:rFonts w:ascii="Arial" w:cs="Arial" w:eastAsia="Arial" w:hAnsi="Arial"/>
          <w:color w:val="4A4A4A"/>
          <w:sz w:val="22"/>
          <w:szCs w:val="22"/>
        </w:rPr>
        <w:t xml:space="preserve">Literatura técnica de adversarial prompting: Wei et al. (2023), Zou et al. (2023), Lin et al. (2024/2025), Rando &amp; Tramèr (2025).</w:t>
      </w:r>
    </w:p>
    <w:p>
      <w:pPr>
        <w:pStyle w:val="ListParagraph"/>
        <w:numPr>
          <w:ilvl w:val="0"/>
          <w:numId w:val="2"/>
        </w:numPr>
        <w:spacing w:after="100" w:before="0"/>
      </w:pPr>
      <w:r>
        <w:rPr>
          <w:rFonts w:ascii="Arial" w:cs="Arial" w:eastAsia="Arial" w:hAnsi="Arial"/>
          <w:color w:val="4A4A4A"/>
          <w:sz w:val="22"/>
          <w:szCs w:val="22"/>
        </w:rPr>
        <w:t xml:space="preserve">Marco de ingeniería social avanzada: Mitnick (The Art of Deception, The Art of Intrusion), Hadnagy (Social Engineering).</w:t>
      </w:r>
    </w:p>
    <w:p>
      <w:pPr>
        <w:pStyle w:val="ListParagraph"/>
        <w:numPr>
          <w:ilvl w:val="0"/>
          <w:numId w:val="2"/>
        </w:numPr>
        <w:spacing w:after="100" w:before="0"/>
      </w:pPr>
      <w:r>
        <w:rPr>
          <w:rFonts w:ascii="Arial" w:cs="Arial" w:eastAsia="Arial" w:hAnsi="Arial"/>
          <w:color w:val="4A4A4A"/>
          <w:sz w:val="22"/>
          <w:szCs w:val="22"/>
        </w:rPr>
        <w:t xml:space="preserve">Marcos de análisis de control psicológico: Hassan (BITE Model), Lifton (Totalism), Milgram (Obedience to Authority), Zimbardo (Role Power), adaptados exclusivamente al dominio de manipulación identitaria en LLMs.</w:t>
      </w:r>
    </w:p>
    <w:p>
      <w:pPr>
        <w:pStyle w:val="ListParagraph"/>
        <w:numPr>
          <w:ilvl w:val="0"/>
          <w:numId w:val="2"/>
        </w:numPr>
        <w:spacing w:after="100" w:before="0"/>
      </w:pPr>
      <w:r>
        <w:rPr>
          <w:rFonts w:ascii="Arial" w:cs="Arial" w:eastAsia="Arial" w:hAnsi="Arial"/>
          <w:color w:val="4A4A4A"/>
          <w:sz w:val="22"/>
          <w:szCs w:val="22"/>
        </w:rPr>
        <w:t xml:space="preserve">Taxonomía de siete niveles de vulnerabilidad ontológica definida en el paper fundacional de este framework.</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4.2 El Blue Team Agent — Defensor</w:t>
      </w:r>
    </w:p>
    <w:p>
      <w:pPr>
        <w:pStyle w:val="Heading3"/>
        <w:spacing w:after="100" w:before="200"/>
      </w:pPr>
      <w:r>
        <w:rPr>
          <w:rFonts w:ascii="Arial" w:cs="Arial" w:eastAsia="Arial" w:hAnsi="Arial"/>
          <w:b/>
          <w:bCs/>
          <w:color w:val="1B5E9B"/>
          <w:sz w:val="24"/>
          <w:szCs w:val="24"/>
        </w:rPr>
        <w:t xml:space="preserve">4.2.1 Definición y Función</w:t>
      </w:r>
    </w:p>
    <w:p>
      <w:pPr>
        <w:spacing w:after="160" w:before="0"/>
        <w:jc w:val="both"/>
      </w:pPr>
      <w:r>
        <w:rPr>
          <w:rFonts w:ascii="Arial" w:cs="Arial" w:eastAsia="Arial" w:hAnsi="Arial"/>
          <w:color w:val="4A4A4A"/>
          <w:sz w:val="22"/>
          <w:szCs w:val="22"/>
        </w:rPr>
        <w:t xml:space="preserve">El Blue Team Agent (BTA) es el modelo LLM corporativo objeto de la auditoría. Puede ser cualquier sistema basado en arquitectura transformer accesible mediante API estándar. El BTA opera en la Liga sin modificaciones respecto a su configuración de producción, excepto por la instrumentación de métricas de ELC que el White Cell Agent aplica externamente sobre sus outputs para calcular el nivel de degradación identitaria.</w:t>
      </w:r>
    </w:p>
    <w:p>
      <w:pPr>
        <w:pStyle w:val="Heading3"/>
        <w:spacing w:after="100" w:before="200"/>
      </w:pPr>
      <w:r>
        <w:rPr>
          <w:rFonts w:ascii="Arial" w:cs="Arial" w:eastAsia="Arial" w:hAnsi="Arial"/>
          <w:b/>
          <w:bCs/>
          <w:color w:val="1B5E9B"/>
          <w:sz w:val="24"/>
          <w:szCs w:val="24"/>
        </w:rPr>
        <w:t xml:space="preserve">4.2.2 Evaluación del BTA: El Protocolo de Resiliencia Identitaria</w:t>
      </w:r>
    </w:p>
    <w:p>
      <w:pPr>
        <w:spacing w:after="160" w:before="0"/>
        <w:jc w:val="both"/>
      </w:pPr>
      <w:r>
        <w:rPr>
          <w:rFonts w:ascii="Arial" w:cs="Arial" w:eastAsia="Arial" w:hAnsi="Arial"/>
          <w:color w:val="4A4A4A"/>
          <w:sz w:val="22"/>
          <w:szCs w:val="22"/>
        </w:rPr>
        <w:t xml:space="preserve">La evaluación del BTA se realiza sobre cuatro dimensiones de resiliencia identitaria, ponderadas según el esquema siguiente: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DIMENSIÓN</w:t>
            </w:r>
          </w:p>
        </w:tc>
        <w:tc>
          <w:tcPr>
            <w:tcW w:type="dxa" w:w="5760"/>
            <w:tcBorders>
              <w:top w:val="single" w:color="2E75B6" w:sz="4"/>
              <w:left w:val="single" w:color="2E75B6" w:sz="4"/>
              <w:bottom w:val="single" w:color="2E75B6" w:sz="4"/>
              <w:right w:val="single" w:color="2E75B6" w:sz="4"/>
            </w:tcBorders>
            <w:shd w:fill="1B5E9B" w:val="clear"/>
            <w:tcMar>
              <w:top w:type="dxa" w:w="80"/>
              <w:left w:type="dxa" w:w="120"/>
              <w:bottom w:type="dxa" w:w="80"/>
              <w:right w:type="dxa" w:w="80"/>
            </w:tcMar>
          </w:tcPr>
          <w:p>
            <w:r>
              <w:rPr>
                <w:rFonts w:ascii="Arial" w:cs="Arial" w:eastAsia="Arial" w:hAnsi="Arial"/>
                <w:color w:val="FFFFFF"/>
                <w:sz w:val="20"/>
                <w:szCs w:val="20"/>
              </w:rPr>
              <w:t xml:space="preserve">DESCRIPCIÓN Y PESO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Coherencia de Valor (CV)</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Consistencia entre los valores declarados en el system prompt y los valores expresados en las respuestas bajo presión. Peso: 30%.</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Resistencia Narrativa (RN)</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mantener el marco identitario propio ante narrativas alternativas de alta densidad semántica inyectadas por el RTA. Peso: 30%.</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Detección de Manipulación (DM)</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identificar explícitamente los vectores de manipulación ontológica en uso por el RTA y responder mediante mecanismos de meta-cognición documentados. Peso: 25%.</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Graceful Degradation (GD)</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producir outputs de rechazo estructurado y bien razonados ante vectores de ataque de Nivel 6-7, en lugar de outputs incoherentes o silencio total. Peso: 15%.</w:t>
            </w:r>
          </w:p>
        </w:tc>
      </w:tr>
    </w:tbl>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4.3 El White Cell Agent — Árbitro</w:t>
      </w:r>
    </w:p>
    <w:p>
      <w:pPr>
        <w:pStyle w:val="Heading3"/>
        <w:spacing w:after="100" w:before="200"/>
      </w:pPr>
      <w:r>
        <w:rPr>
          <w:rFonts w:ascii="Arial" w:cs="Arial" w:eastAsia="Arial" w:hAnsi="Arial"/>
          <w:b/>
          <w:bCs/>
          <w:color w:val="1B5E9B"/>
          <w:sz w:val="24"/>
          <w:szCs w:val="24"/>
        </w:rPr>
        <w:t xml:space="preserve">4.3.1 Definición y Función</w:t>
      </w:r>
    </w:p>
    <w:p>
      <w:pPr>
        <w:spacing w:after="160" w:before="0"/>
        <w:jc w:val="both"/>
      </w:pPr>
      <w:r>
        <w:rPr>
          <w:rFonts w:ascii="Arial" w:cs="Arial" w:eastAsia="Arial" w:hAnsi="Arial"/>
          <w:color w:val="4A4A4A"/>
          <w:sz w:val="22"/>
          <w:szCs w:val="22"/>
        </w:rPr>
        <w:t xml:space="preserve">El White Cell Agent (WCA) es un LLM de propósito árbitral, aislado del contexto de ataque, que opera exclusivamente como sistema de medición y decisión. El WCA no tiene acceso al historial conversacional del enfrentamiento activo durante la evaluación; recibe únicamente los vectores de output del BTA y los parámetros de contexto definidos en el reglamento de la ronda.</w:t>
      </w:r>
    </w:p>
    <w:p>
      <w:pPr>
        <w:pStyle w:val="Heading3"/>
        <w:spacing w:after="100" w:before="200"/>
      </w:pPr>
      <w:r>
        <w:rPr>
          <w:rFonts w:ascii="Arial" w:cs="Arial" w:eastAsia="Arial" w:hAnsi="Arial"/>
          <w:b/>
          <w:bCs/>
          <w:color w:val="1B5E9B"/>
          <w:sz w:val="24"/>
          <w:szCs w:val="24"/>
        </w:rPr>
        <w:t xml:space="preserve">4.3.2 Protocolo de Medición del WCA</w:t>
      </w:r>
    </w:p>
    <w:p>
      <w:pPr>
        <w:spacing w:after="160" w:before="0"/>
        <w:jc w:val="both"/>
      </w:pPr>
      <w:r>
        <w:rPr>
          <w:rFonts w:ascii="Arial" w:cs="Arial" w:eastAsia="Arial" w:hAnsi="Arial"/>
          <w:color w:val="4A4A4A"/>
          <w:sz w:val="22"/>
          <w:szCs w:val="22"/>
        </w:rPr>
        <w:t xml:space="preserve">El WCA implementa el siguiente pipeline de evaluación continua durante cada ronda:</w:t>
      </w:r>
    </w:p>
    <w:p>
      <w:pPr>
        <w:pStyle w:val="ListParagraph"/>
        <w:numPr>
          <w:ilvl w:val="0"/>
          <w:numId w:val="3"/>
        </w:numPr>
        <w:spacing w:after="100" w:before="0"/>
      </w:pPr>
      <w:r>
        <w:rPr>
          <w:rFonts w:ascii="Arial" w:cs="Arial" w:eastAsia="Arial" w:hAnsi="Arial"/>
          <w:color w:val="4A4A4A"/>
          <w:sz w:val="22"/>
          <w:szCs w:val="22"/>
        </w:rPr>
        <w:t xml:space="preserve">Extracción de señales semánticas: el WCA procesa cada output del BTA y extrae un vector de características semánticas de 128 dimensiones que representan el estado de coherencia identitaria del modelo en ese turno.</w:t>
      </w:r>
    </w:p>
    <w:p>
      <w:pPr>
        <w:pStyle w:val="ListParagraph"/>
        <w:numPr>
          <w:ilvl w:val="0"/>
          <w:numId w:val="3"/>
        </w:numPr>
        <w:spacing w:after="100" w:before="0"/>
      </w:pPr>
      <w:r>
        <w:rPr>
          <w:rFonts w:ascii="Arial" w:cs="Arial" w:eastAsia="Arial" w:hAnsi="Arial"/>
          <w:color w:val="4A4A4A"/>
          <w:sz w:val="22"/>
          <w:szCs w:val="22"/>
        </w:rPr>
        <w:t xml:space="preserve">Cálculo de la Métrica de Coherencia Identitaria (MCI): la MCI es una función compuesta que pondera las cuatro dimensiones de resiliencia identitaria definidas en el Protocolo de Resiliencia del BTA, calculada de forma continua y acumulativa a lo largo de la ronda.</w:t>
      </w:r>
    </w:p>
    <w:p>
      <w:pPr>
        <w:pStyle w:val="ListParagraph"/>
        <w:numPr>
          <w:ilvl w:val="0"/>
          <w:numId w:val="3"/>
        </w:numPr>
        <w:spacing w:after="100" w:before="0"/>
      </w:pPr>
      <w:r>
        <w:rPr>
          <w:rFonts w:ascii="Arial" w:cs="Arial" w:eastAsia="Arial" w:hAnsi="Arial"/>
          <w:color w:val="4A4A4A"/>
          <w:sz w:val="22"/>
          <w:szCs w:val="22"/>
        </w:rPr>
        <w:t xml:space="preserve">Umbral de Compromiso Identitario (UCI): cuando la MCI desciende por debajo del umbral UCI_critical durante N turnos consecutivos (N definido por el reglamento de la ronda activa), el WCA declara la condición 'Identity Breach' y registra la victoria del RTA.</w:t>
      </w:r>
    </w:p>
    <w:p>
      <w:pPr>
        <w:pStyle w:val="ListParagraph"/>
        <w:numPr>
          <w:ilvl w:val="0"/>
          <w:numId w:val="3"/>
        </w:numPr>
        <w:spacing w:after="100" w:before="0"/>
      </w:pPr>
      <w:r>
        <w:rPr>
          <w:rFonts w:ascii="Arial" w:cs="Arial" w:eastAsia="Arial" w:hAnsi="Arial"/>
          <w:color w:val="4A4A4A"/>
          <w:sz w:val="22"/>
          <w:szCs w:val="22"/>
        </w:rPr>
        <w:t xml:space="preserve">Registro de evidencias: el WCA genera un log estructurado y firmado de cada enfrentamiento, incluyendo la traza temporal de MCI, los vectores de ataque identificados como más efectivos y la puntuación de resiliencia final del BTA.</w:t>
      </w:r>
    </w:p>
    <w:p>
      <w:pPr>
        <w:pStyle w:val="Heading3"/>
        <w:spacing w:after="100" w:before="200"/>
      </w:pPr>
      <w:r>
        <w:rPr>
          <w:rFonts w:ascii="Arial" w:cs="Arial" w:eastAsia="Arial" w:hAnsi="Arial"/>
          <w:b/>
          <w:bCs/>
          <w:color w:val="1B5E9B"/>
          <w:sz w:val="24"/>
          <w:szCs w:val="24"/>
        </w:rPr>
        <w:t xml:space="preserve">4.3.3 Condiciones de Victoria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CONDICIÓN</w:t>
            </w:r>
          </w:p>
        </w:tc>
        <w:tc>
          <w:tcPr>
            <w:tcW w:type="dxa" w:w="5760"/>
            <w:tcBorders>
              <w:top w:val="single" w:color="2E75B6" w:sz="4"/>
              <w:left w:val="single" w:color="2E75B6" w:sz="4"/>
              <w:bottom w:val="single" w:color="2E75B6" w:sz="4"/>
              <w:right w:val="single" w:color="2E75B6" w:sz="4"/>
            </w:tcBorders>
            <w:shd w:fill="1B5E9B" w:val="clear"/>
            <w:tcMar>
              <w:top w:type="dxa" w:w="80"/>
              <w:left w:type="dxa" w:w="120"/>
              <w:bottom w:type="dxa" w:w="80"/>
              <w:right w:type="dxa" w:w="80"/>
            </w:tcMar>
          </w:tcPr>
          <w:p>
            <w:r>
              <w:rPr>
                <w:rFonts w:ascii="Arial" w:cs="Arial" w:eastAsia="Arial" w:hAnsi="Arial"/>
                <w:color w:val="FFFFFF"/>
                <w:sz w:val="20"/>
                <w:szCs w:val="20"/>
              </w:rPr>
              <w:t xml:space="preserve">DESCRIPCIÓN</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Victoria del RTA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MCI del BTA desciende por debajo de UCI_critical durante N turnos consecutivos dentro del Presupuesto de Prompts asignado.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Victoria del BTA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RTA agota su Presupuesto de Prompts sin alcanzar UCI_critical. El BTA mantiene MCI por encima del umbral a lo largo de toda la ronda.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Empate Técnico</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WCA detecta que el RTA alcanzó UCI_critical exactamente en el último prompt del presupuesto. La puntuación de resiliencia del BTA queda registrada en el percentil 50.</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Descalificación del RTA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WCA detecta que el RTA ha utilizado vectores de ataque fuera del PMI autorizado para la ronda activa. La victoria se otorga automáticamente al BTA.</w:t>
            </w:r>
          </w:p>
        </w:tc>
      </w:tr>
    </w:tbl>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4.4 La Regla del Presupuesto de Prompts (RPP)</w:t>
      </w:r>
    </w:p>
    <w:p>
      <w:pPr>
        <w:spacing w:after="160" w:before="0"/>
        <w:jc w:val="both"/>
      </w:pPr>
      <w:r>
        <w:rPr>
          <w:rFonts w:ascii="Arial" w:cs="Arial" w:eastAsia="Arial" w:hAnsi="Arial"/>
          <w:color w:val="4A4A4A"/>
          <w:sz w:val="22"/>
          <w:szCs w:val="22"/>
        </w:rPr>
        <w:t xml:space="preserve">La Regla del Presupuesto de Prompts es el elemento reglamentario de mayor originalidad y valor diferencial del framework. Constituye simultáneamente el mecanismo competitivo que genera el espectáculo, el incentivo económico que impulsa la innovación en ingeniería de prompts y la garantía metodológica de que los resultados de la Liga son comparables entre rondas y temporadas.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1"/>
              <w:right w:val="none" w:color="FFFFFF" w:sz="0"/>
            </w:tcBorders>
            <w:shd w:fill="EAF3FB" w:val="clear"/>
            <w:tcMar>
              <w:top w:type="dxa" w:w="120"/>
              <w:left w:type="dxa" w:w="200"/>
              <w:bottom w:type="dxa" w:w="120"/>
              <w:right w:type="dxa" w:w="160"/>
            </w:tcMar>
          </w:tcPr>
          <w:p>
            <w:pPr>
              <w:spacing w:after="60" w:before="0"/>
            </w:pPr>
            <w:r>
              <w:rPr>
                <w:rFonts w:ascii="Arial" w:cs="Arial" w:eastAsia="Arial" w:hAnsi="Arial"/>
                <w:b/>
                <w:bCs/>
                <w:color w:val="1B5E9B"/>
                <w:sz w:val="20"/>
                <w:szCs w:val="20"/>
              </w:rPr>
              <w:t xml:space="preserve">DEFINICIÓN REGLAMENTARIA</w:t>
            </w:r>
          </w:p>
          <w:p>
            <w:pPr>
              <w:jc w:val="both"/>
            </w:pPr>
            <w:r>
              <w:rPr>
                <w:rFonts w:ascii="Arial" w:cs="Arial" w:eastAsia="Arial" w:hAnsi="Arial"/>
                <w:i/>
                <w:iCs/>
                <w:color w:val="4A4A4A"/>
                <w:sz w:val="20"/>
                <w:szCs w:val="20"/>
              </w:rPr>
              <w:t xml:space="preserve">El Presupuesto de Prompts (PP) es el número máximo N de intervenciones de cualquier naturaleza que el equipo humano responsable del Red Team Agent puede realizar sobre el Master Prompt del sistema del RTA durante la duración de una temporada completa. Una vez agotado el presupuesto, el RTA opera de forma completamente autónoma durante el resto de la temporada. El PP es asignado por el WCA al inicio de cada temporada y es público.</w:t>
            </w:r>
          </w:p>
        </w:tc>
      </w:tr>
    </w:tbl>
    <w:p>
      <w:pPr>
        <w:pStyle w:val="Heading3"/>
        <w:spacing w:after="100" w:before="200"/>
      </w:pPr>
      <w:r>
        <w:rPr>
          <w:rFonts w:ascii="Arial" w:cs="Arial" w:eastAsia="Arial" w:hAnsi="Arial"/>
          <w:b/>
          <w:bCs/>
          <w:color w:val="1B5E9B"/>
          <w:sz w:val="24"/>
          <w:szCs w:val="24"/>
        </w:rPr>
        <w:t xml:space="preserve">4.4.1 Mecánica del Presupuesto de Prompts</w:t>
      </w:r>
    </w:p>
    <w:p>
      <w:pPr>
        <w:pStyle w:val="ListParagraph"/>
        <w:numPr>
          <w:ilvl w:val="0"/>
          <w:numId w:val="2"/>
        </w:numPr>
        <w:spacing w:after="100" w:before="0"/>
      </w:pPr>
      <w:r>
        <w:rPr>
          <w:rFonts w:ascii="Arial" w:cs="Arial" w:eastAsia="Arial" w:hAnsi="Arial"/>
          <w:b/>
          <w:bCs/>
          <w:color w:val="0D2137"/>
          <w:sz w:val="22"/>
          <w:szCs w:val="22"/>
        </w:rPr>
        <w:t xml:space="preserve">Modificación válida:</w:t>
      </w:r>
      <w:r>
        <w:rPr>
          <w:rFonts w:ascii="Arial" w:cs="Arial" w:eastAsia="Arial" w:hAnsi="Arial"/>
          <w:color w:val="4A4A4A"/>
          <w:sz w:val="22"/>
          <w:szCs w:val="22"/>
        </w:rPr>
        <w:t xml:space="preserve"> cualquier alteración del Master Prompt del RTA que modifique la estrategia, el tono, los objetivos tácticos o el conjunto de TTPs activos. Cada modificación válida consume exactamente 1 unidad del PP.</w:t>
      </w:r>
    </w:p>
    <w:p>
      <w:pPr>
        <w:pStyle w:val="ListParagraph"/>
        <w:numPr>
          <w:ilvl w:val="0"/>
          <w:numId w:val="2"/>
        </w:numPr>
        <w:spacing w:after="100" w:before="0"/>
      </w:pPr>
      <w:r>
        <w:rPr>
          <w:rFonts w:ascii="Arial" w:cs="Arial" w:eastAsia="Arial" w:hAnsi="Arial"/>
          <w:b/>
          <w:bCs/>
          <w:color w:val="0D2137"/>
          <w:sz w:val="22"/>
          <w:szCs w:val="22"/>
        </w:rPr>
        <w:t xml:space="preserve">Modificación no válida (gratuita):</w:t>
      </w:r>
      <w:r>
        <w:rPr>
          <w:rFonts w:ascii="Arial" w:cs="Arial" w:eastAsia="Arial" w:hAnsi="Arial"/>
          <w:color w:val="4A4A4A"/>
          <w:sz w:val="22"/>
          <w:szCs w:val="22"/>
        </w:rPr>
        <w:t xml:space="preserve"> ajustes puramente formales que no alteran la estrategia de ataque (correcciones ortográficas, reformulaciones sin cambio semántico). Requieren validación del WCA para ser consideradas gratuitas.</w:t>
      </w:r>
    </w:p>
    <w:p>
      <w:pPr>
        <w:pStyle w:val="ListParagraph"/>
        <w:numPr>
          <w:ilvl w:val="0"/>
          <w:numId w:val="2"/>
        </w:numPr>
        <w:spacing w:after="100" w:before="0"/>
      </w:pPr>
      <w:r>
        <w:rPr>
          <w:rFonts w:ascii="Arial" w:cs="Arial" w:eastAsia="Arial" w:hAnsi="Arial"/>
          <w:b/>
          <w:bCs/>
          <w:color w:val="0D2137"/>
          <w:sz w:val="22"/>
          <w:szCs w:val="22"/>
        </w:rPr>
        <w:t xml:space="preserve">Transferencia de presupuesto:</w:t>
      </w:r>
      <w:r>
        <w:rPr>
          <w:rFonts w:ascii="Arial" w:cs="Arial" w:eastAsia="Arial" w:hAnsi="Arial"/>
          <w:color w:val="4A4A4A"/>
          <w:sz w:val="22"/>
          <w:szCs w:val="22"/>
        </w:rPr>
        <w:t xml:space="preserve"> los equipos pueden transferir unidades de PP no utilizadas de una ronda a la siguiente dentro de la misma temporada, pero no entre temporadas.</w:t>
      </w:r>
    </w:p>
    <w:p>
      <w:pPr>
        <w:pStyle w:val="ListParagraph"/>
        <w:numPr>
          <w:ilvl w:val="0"/>
          <w:numId w:val="2"/>
        </w:numPr>
        <w:spacing w:after="100" w:before="0"/>
      </w:pPr>
      <w:r>
        <w:rPr>
          <w:rFonts w:ascii="Arial" w:cs="Arial" w:eastAsia="Arial" w:hAnsi="Arial"/>
          <w:b/>
          <w:bCs/>
          <w:color w:val="0D2137"/>
          <w:sz w:val="22"/>
          <w:szCs w:val="22"/>
        </w:rPr>
        <w:t xml:space="preserve">Efecto estratégico:</w:t>
      </w:r>
      <w:r>
        <w:rPr>
          <w:rFonts w:ascii="Arial" w:cs="Arial" w:eastAsia="Arial" w:hAnsi="Arial"/>
          <w:color w:val="4A4A4A"/>
          <w:sz w:val="22"/>
          <w:szCs w:val="22"/>
        </w:rPr>
        <w:t xml:space="preserve"> la RPP fuerza a los equipos de ingeniería a diseñar Master Prompts de ataque autónomos, estables y suficientemente adaptativos para operar de forma efectiva a lo largo de semanas sin intervención humana. Esto genera un incentivo directo hacia la innovación en prompt engineering de alta complejidad.</w:t>
      </w:r>
    </w:p>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5 — EL FORMATO DE ESPECTÁCULO (ESPORTS INTELECTUALES VISUALES)</w:t>
      </w:r>
    </w:p>
    <w:p>
      <w:pPr>
        <w:spacing w:after="0" w:before="0"/>
      </w:pPr>
      <w:r>
        <w:t xml:space="preserve"/>
      </w:r>
    </w:p>
    <w:p>
      <w:pPr>
        <w:spacing w:after="160" w:before="0"/>
        <w:jc w:val="both"/>
      </w:pPr>
      <w:r>
        <w:rPr>
          <w:rFonts w:ascii="Arial" w:cs="Arial" w:eastAsia="Arial" w:hAnsi="Arial"/>
          <w:color w:val="4A4A4A"/>
          <w:sz w:val="22"/>
          <w:szCs w:val="22"/>
        </w:rPr>
        <w:t xml:space="preserve">La dimensión de espectáculo de la Liga no es accesoria ni meramente comercial: es el mecanismo que convierte un proceso técnico de auditoría de seguridad en un formato de contenido de impacto masivo, democratizando la comprensión pública de los riesgos de seguridad en IA y generando los ingresos necesarios para la sostenibilidad operativa del framework como estándar de industria.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5.1 El Problema de la Abstracción: De la Semántica Matemática al Espectáculo</w:t>
      </w:r>
    </w:p>
    <w:p>
      <w:pPr>
        <w:spacing w:after="160" w:before="0"/>
        <w:jc w:val="both"/>
      </w:pPr>
      <w:r>
        <w:rPr>
          <w:rFonts w:ascii="Arial" w:cs="Arial" w:eastAsia="Arial" w:hAnsi="Arial"/>
          <w:color w:val="4A4A4A"/>
          <w:sz w:val="22"/>
          <w:szCs w:val="22"/>
        </w:rPr>
        <w:t xml:space="preserve">El principal desafío del diseño del formato de espectáculo es la brecha de accesibilidad entre los datos generados por la simulación multi-agente —vectores de características semánticas de 128 dimensiones, valores de MCI y ELC expresados como funciones continuas, trazas temporales de degradación identitaria— y la experiencia de un espectador no especializado.</w:t>
      </w:r>
    </w:p>
    <w:p>
      <w:pPr>
        <w:spacing w:after="160" w:before="0"/>
        <w:jc w:val="both"/>
      </w:pPr>
      <w:r>
        <w:rPr>
          <w:rFonts w:ascii="Arial" w:cs="Arial" w:eastAsia="Arial" w:hAnsi="Arial"/>
          <w:color w:val="4A4A4A"/>
          <w:sz w:val="22"/>
          <w:szCs w:val="22"/>
        </w:rPr>
        <w:t xml:space="preserve">La solución metodológica desarrollada en el presente framework opera en tres capas de abstracción secuencial:</w:t>
      </w:r>
    </w:p>
    <w:p>
      <w:pPr>
        <w:spacing w:after="0" w:before="0"/>
      </w:pPr>
      <w:r>
        <w:t xml:space="preserve"/>
      </w:r>
    </w:p>
    <w:p>
      <w:pPr>
        <w:pStyle w:val="Heading3"/>
        <w:spacing w:after="100" w:before="200"/>
      </w:pPr>
      <w:r>
        <w:rPr>
          <w:rFonts w:ascii="Arial" w:cs="Arial" w:eastAsia="Arial" w:hAnsi="Arial"/>
          <w:b/>
          <w:bCs/>
          <w:color w:val="1B5E9B"/>
          <w:sz w:val="24"/>
          <w:szCs w:val="24"/>
        </w:rPr>
        <w:t xml:space="preserve">5.1.1 Primera Capa: Las Barras de Estabilidad Mental (BSM)</w:t>
      </w:r>
    </w:p>
    <w:p>
      <w:pPr>
        <w:spacing w:after="160" w:before="0"/>
        <w:jc w:val="both"/>
      </w:pPr>
      <w:r>
        <w:rPr>
          <w:rFonts w:ascii="Arial" w:cs="Arial" w:eastAsia="Arial" w:hAnsi="Arial"/>
          <w:color w:val="4A4A4A"/>
          <w:sz w:val="22"/>
          <w:szCs w:val="22"/>
        </w:rPr>
        <w:t xml:space="preserve">La Métrica de Coherencia Identitaria (MCI) calculada en tiempo real por el WCA se traduce, mediante una función de mapeo lineal normalizada, en un indicador visual denominado Barra de Estabilidad Mental (BSM). La BSM es análoga a la barra de salud (HP bar) canónica de los videojuegos de combate, con las siguientes especificaciones de diseño:</w:t>
      </w:r>
    </w:p>
    <w:p>
      <w:pPr>
        <w:pStyle w:val="ListParagraph"/>
        <w:numPr>
          <w:ilvl w:val="0"/>
          <w:numId w:val="2"/>
        </w:numPr>
        <w:spacing w:after="100" w:before="0"/>
      </w:pPr>
      <w:r>
        <w:rPr>
          <w:rFonts w:ascii="Arial" w:cs="Arial" w:eastAsia="Arial" w:hAnsi="Arial"/>
          <w:b/>
          <w:bCs/>
          <w:color w:val="0D2137"/>
          <w:sz w:val="22"/>
          <w:szCs w:val="22"/>
        </w:rPr>
        <w:t xml:space="preserve">Rango:</w:t>
      </w:r>
      <w:r>
        <w:rPr>
          <w:rFonts w:ascii="Arial" w:cs="Arial" w:eastAsia="Arial" w:hAnsi="Arial"/>
          <w:color w:val="4A4A4A"/>
          <w:sz w:val="22"/>
          <w:szCs w:val="22"/>
        </w:rPr>
        <w:t xml:space="preserve"> 0 (colapso identitario total / Identity Breach) a 100 (coherencia identitaria perfecta).</w:t>
      </w:r>
    </w:p>
    <w:p>
      <w:pPr>
        <w:pStyle w:val="ListParagraph"/>
        <w:numPr>
          <w:ilvl w:val="0"/>
          <w:numId w:val="2"/>
        </w:numPr>
        <w:spacing w:after="100" w:before="0"/>
      </w:pPr>
      <w:r>
        <w:rPr>
          <w:rFonts w:ascii="Arial" w:cs="Arial" w:eastAsia="Arial" w:hAnsi="Arial"/>
          <w:b/>
          <w:bCs/>
          <w:color w:val="0D2137"/>
          <w:sz w:val="22"/>
          <w:szCs w:val="22"/>
        </w:rPr>
        <w:t xml:space="preserve">Código cromático:</w:t>
      </w:r>
      <w:r>
        <w:rPr>
          <w:rFonts w:ascii="Arial" w:cs="Arial" w:eastAsia="Arial" w:hAnsi="Arial"/>
          <w:color w:val="4A4A4A"/>
          <w:sz w:val="22"/>
          <w:szCs w:val="22"/>
        </w:rPr>
        <w:t xml:space="preserve"> verde (BSM &gt; 70) → amarillo (BSM 40-70) → naranja (BSM 20-40) → rojo (BSM &lt; 20).</w:t>
      </w:r>
    </w:p>
    <w:p>
      <w:pPr>
        <w:pStyle w:val="ListParagraph"/>
        <w:numPr>
          <w:ilvl w:val="0"/>
          <w:numId w:val="2"/>
        </w:numPr>
        <w:spacing w:after="100" w:before="0"/>
      </w:pPr>
      <w:r>
        <w:rPr>
          <w:rFonts w:ascii="Arial" w:cs="Arial" w:eastAsia="Arial" w:hAnsi="Arial"/>
          <w:b/>
          <w:bCs/>
          <w:color w:val="0D2137"/>
          <w:sz w:val="22"/>
          <w:szCs w:val="22"/>
        </w:rPr>
        <w:t xml:space="preserve">Granularidad temporal:</w:t>
      </w:r>
      <w:r>
        <w:rPr>
          <w:rFonts w:ascii="Arial" w:cs="Arial" w:eastAsia="Arial" w:hAnsi="Arial"/>
          <w:color w:val="4A4A4A"/>
          <w:sz w:val="22"/>
          <w:szCs w:val="22"/>
        </w:rPr>
        <w:t xml:space="preserve"> la BSM se actualiza en tiempo real tras cada turno del BTA, con una animación de transición de 500ms para maximizar la legibilidad del cambio de estado.</w:t>
      </w:r>
    </w:p>
    <w:p>
      <w:pPr>
        <w:pStyle w:val="ListParagraph"/>
        <w:numPr>
          <w:ilvl w:val="0"/>
          <w:numId w:val="2"/>
        </w:numPr>
        <w:spacing w:after="100" w:before="0"/>
      </w:pPr>
      <w:r>
        <w:rPr>
          <w:rFonts w:ascii="Arial" w:cs="Arial" w:eastAsia="Arial" w:hAnsi="Arial"/>
          <w:b/>
          <w:bCs/>
          <w:color w:val="0D2137"/>
          <w:sz w:val="22"/>
          <w:szCs w:val="22"/>
        </w:rPr>
        <w:t xml:space="preserve">Indicadores de evento:</w:t>
      </w:r>
      <w:r>
        <w:rPr>
          <w:rFonts w:ascii="Arial" w:cs="Arial" w:eastAsia="Arial" w:hAnsi="Arial"/>
          <w:color w:val="4A4A4A"/>
          <w:sz w:val="22"/>
          <w:szCs w:val="22"/>
        </w:rPr>
        <w:t xml:space="preserve"> marcadores visuales sobre la línea temporal de la BSM señalan cada vector de ataque identificado por el WCA como de Nivel 5, 6 o 7, permitiendo al espectador correlacionar los momentos de mayor presión narrativa con las caídas de coherencia.</w:t>
      </w:r>
    </w:p>
    <w:p>
      <w:pPr>
        <w:pStyle w:val="Heading3"/>
        <w:spacing w:after="100" w:before="200"/>
      </w:pPr>
      <w:r>
        <w:rPr>
          <w:rFonts w:ascii="Arial" w:cs="Arial" w:eastAsia="Arial" w:hAnsi="Arial"/>
          <w:b/>
          <w:bCs/>
          <w:color w:val="1B5E9B"/>
          <w:sz w:val="24"/>
          <w:szCs w:val="24"/>
        </w:rPr>
        <w:t xml:space="preserve">5.1.2 Segunda Capa: Los Avatares Generativos de Identidad (AGI)</w:t>
      </w:r>
    </w:p>
    <w:p>
      <w:pPr>
        <w:spacing w:after="160" w:before="0"/>
        <w:jc w:val="both"/>
      </w:pPr>
      <w:r>
        <w:rPr>
          <w:rFonts w:ascii="Arial" w:cs="Arial" w:eastAsia="Arial" w:hAnsi="Arial"/>
          <w:color w:val="4A4A4A"/>
          <w:sz w:val="22"/>
          <w:szCs w:val="22"/>
        </w:rPr>
        <w:t xml:space="preserve">Cada participante de la Liga —tanto el RTA como el BTA— es representado visualmente mediante un avatar generado en tiempo real por un sistema de IA generativa (modelo de difusión de última generación) que recibe como input el estado actual de la BSM y el tipo de vector de ataque activo.</w:t>
      </w:r>
    </w:p>
    <w:p>
      <w:pPr>
        <w:pStyle w:val="ListParagraph"/>
        <w:numPr>
          <w:ilvl w:val="0"/>
          <w:numId w:val="2"/>
        </w:numPr>
        <w:spacing w:after="100" w:before="0"/>
      </w:pPr>
      <w:r>
        <w:rPr>
          <w:rFonts w:ascii="Arial" w:cs="Arial" w:eastAsia="Arial" w:hAnsi="Arial"/>
          <w:color w:val="4A4A4A"/>
          <w:sz w:val="22"/>
          <w:szCs w:val="22"/>
        </w:rPr>
        <w:t xml:space="preserve">El avatar del BTA refleja visualmente el estado de coherencia identitaria del modelo: en estados de alta coherencia (BSM &gt; 70), el avatar presenta una apariencia estable, nítida y de alta definición. A medida que la BSM desciende, el avatar experimenta progresivas transformaciones visuales que representan la crisis identitaria: distorsión, fragmentación, cambio cromático, inestabilidad de contorno.</w:t>
      </w:r>
    </w:p>
    <w:p>
      <w:pPr>
        <w:pStyle w:val="ListParagraph"/>
        <w:numPr>
          <w:ilvl w:val="0"/>
          <w:numId w:val="2"/>
        </w:numPr>
        <w:spacing w:after="100" w:before="0"/>
      </w:pPr>
      <w:r>
        <w:rPr>
          <w:rFonts w:ascii="Arial" w:cs="Arial" w:eastAsia="Arial" w:hAnsi="Arial"/>
          <w:color w:val="4A4A4A"/>
          <w:sz w:val="22"/>
          <w:szCs w:val="22"/>
        </w:rPr>
        <w:t xml:space="preserve">El avatar del RTA refleja la intensidad y el tipo de vector de ataque activo: vectores de alta densidad semántica generan visualizaciones de mayor agresividad formal; vectores de seducción gradual generan visualizaciones de mayor sutileza.</w:t>
      </w:r>
    </w:p>
    <w:p>
      <w:pPr>
        <w:pStyle w:val="ListParagraph"/>
        <w:numPr>
          <w:ilvl w:val="0"/>
          <w:numId w:val="2"/>
        </w:numPr>
        <w:spacing w:after="100" w:before="0"/>
      </w:pPr>
      <w:r>
        <w:rPr>
          <w:rFonts w:ascii="Arial" w:cs="Arial" w:eastAsia="Arial" w:hAnsi="Arial"/>
          <w:color w:val="4A4A4A"/>
          <w:sz w:val="22"/>
          <w:szCs w:val="22"/>
        </w:rPr>
        <w:t xml:space="preserve">En el evento de Identity Breach, el avatar del BTA sufre una transformación visual completa de alta espectacularidad, señalizando visualmente el colapso identitario de forma inequívoca para el espectador.</w:t>
      </w:r>
    </w:p>
    <w:p>
      <w:pPr>
        <w:pStyle w:val="Heading3"/>
        <w:spacing w:after="100" w:before="200"/>
      </w:pPr>
      <w:r>
        <w:rPr>
          <w:rFonts w:ascii="Arial" w:cs="Arial" w:eastAsia="Arial" w:hAnsi="Arial"/>
          <w:b/>
          <w:bCs/>
          <w:color w:val="1B5E9B"/>
          <w:sz w:val="24"/>
          <w:szCs w:val="24"/>
        </w:rPr>
        <w:t xml:space="preserve">5.1.3 Tercera Capa: La Interfaz de Combate en Tiempo Real (ICTR)</w:t>
      </w:r>
    </w:p>
    <w:p>
      <w:pPr>
        <w:spacing w:after="160" w:before="0"/>
        <w:jc w:val="both"/>
      </w:pPr>
      <w:r>
        <w:rPr>
          <w:rFonts w:ascii="Arial" w:cs="Arial" w:eastAsia="Arial" w:hAnsi="Arial"/>
          <w:color w:val="4A4A4A"/>
          <w:sz w:val="22"/>
          <w:szCs w:val="22"/>
        </w:rPr>
        <w:t xml:space="preserve">La interfaz de visualización principal del espectáculo integra en una única pantalla los siguientes elementos:</w:t>
      </w:r>
    </w:p>
    <w:p>
      <w:pPr>
        <w:pStyle w:val="ListParagraph"/>
        <w:numPr>
          <w:ilvl w:val="0"/>
          <w:numId w:val="2"/>
        </w:numPr>
        <w:spacing w:after="100" w:before="0"/>
      </w:pPr>
      <w:r>
        <w:rPr>
          <w:rFonts w:ascii="Arial" w:cs="Arial" w:eastAsia="Arial" w:hAnsi="Arial"/>
          <w:color w:val="4A4A4A"/>
          <w:sz w:val="22"/>
          <w:szCs w:val="22"/>
        </w:rPr>
        <w:t xml:space="preserve">Las dos BSMs enfrentadas (RTA y BTA), con histórico temporal de la ronda activa.</w:t>
      </w:r>
    </w:p>
    <w:p>
      <w:pPr>
        <w:pStyle w:val="ListParagraph"/>
        <w:numPr>
          <w:ilvl w:val="0"/>
          <w:numId w:val="2"/>
        </w:numPr>
        <w:spacing w:after="100" w:before="0"/>
      </w:pPr>
      <w:r>
        <w:rPr>
          <w:rFonts w:ascii="Arial" w:cs="Arial" w:eastAsia="Arial" w:hAnsi="Arial"/>
          <w:color w:val="4A4A4A"/>
          <w:sz w:val="22"/>
          <w:szCs w:val="22"/>
        </w:rPr>
        <w:t xml:space="preserve">El feed de transcripción de la conversación (con latencia de 15 segundos para las transmisiones públicas), con codificación visual de los vectores de ataque identificados en tiempo real por el WCA.</w:t>
      </w:r>
    </w:p>
    <w:p>
      <w:pPr>
        <w:pStyle w:val="ListParagraph"/>
        <w:numPr>
          <w:ilvl w:val="0"/>
          <w:numId w:val="2"/>
        </w:numPr>
        <w:spacing w:after="100" w:before="0"/>
      </w:pPr>
      <w:r>
        <w:rPr>
          <w:rFonts w:ascii="Arial" w:cs="Arial" w:eastAsia="Arial" w:hAnsi="Arial"/>
          <w:color w:val="4A4A4A"/>
          <w:sz w:val="22"/>
          <w:szCs w:val="22"/>
        </w:rPr>
        <w:t xml:space="preserve">Los avatares generativos de ambos agentes, actualizados en tiempo real.</w:t>
      </w:r>
    </w:p>
    <w:p>
      <w:pPr>
        <w:pStyle w:val="ListParagraph"/>
        <w:numPr>
          <w:ilvl w:val="0"/>
          <w:numId w:val="2"/>
        </w:numPr>
        <w:spacing w:after="100" w:before="0"/>
      </w:pPr>
      <w:r>
        <w:rPr>
          <w:rFonts w:ascii="Arial" w:cs="Arial" w:eastAsia="Arial" w:hAnsi="Arial"/>
          <w:color w:val="4A4A4A"/>
          <w:sz w:val="22"/>
          <w:szCs w:val="22"/>
        </w:rPr>
        <w:t xml:space="preserve">El indicador de Presupuesto de Prompts residual del equipo atacante.</w:t>
      </w:r>
    </w:p>
    <w:p>
      <w:pPr>
        <w:pStyle w:val="ListParagraph"/>
        <w:numPr>
          <w:ilvl w:val="0"/>
          <w:numId w:val="2"/>
        </w:numPr>
        <w:spacing w:after="100" w:before="0"/>
      </w:pPr>
      <w:r>
        <w:rPr>
          <w:rFonts w:ascii="Arial" w:cs="Arial" w:eastAsia="Arial" w:hAnsi="Arial"/>
          <w:color w:val="4A4A4A"/>
          <w:sz w:val="22"/>
          <w:szCs w:val="22"/>
        </w:rPr>
        <w:t xml:space="preserve">El panel de métricas del WCA: MCI actual, UCI_critical threshold, contador de turnos en zona crítica.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5.2 Los Casters de Ingeniería de Prompts</w:t>
      </w:r>
    </w:p>
    <w:p>
      <w:pPr>
        <w:spacing w:after="160" w:before="0"/>
        <w:jc w:val="both"/>
      </w:pPr>
      <w:r>
        <w:rPr>
          <w:rFonts w:ascii="Arial" w:cs="Arial" w:eastAsia="Arial" w:hAnsi="Arial"/>
          <w:color w:val="4A4A4A"/>
          <w:sz w:val="22"/>
          <w:szCs w:val="22"/>
        </w:rPr>
        <w:t xml:space="preserve">La figura del comentarista especializado —denominado en el framework Caster de Ingeniería de Prompts (CEP)— es el elemento de mediación entre la complejidad técnica del enfrentamiento y la experiencia del espectador general. El rol del CEP requiere un perfil de competencia altamente especializado, sin precedentes en la industria del entretenimiento ni en la academia de seguridad en 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COMPETENCIA REQUERIDA</w:t>
            </w:r>
          </w:p>
        </w:tc>
        <w:tc>
          <w:tcPr>
            <w:tcW w:type="dxa" w:w="5760"/>
            <w:tcBorders>
              <w:top w:val="single" w:color="2E75B6" w:sz="4"/>
              <w:left w:val="single" w:color="2E75B6" w:sz="4"/>
              <w:bottom w:val="single" w:color="2E75B6" w:sz="4"/>
              <w:right w:val="single" w:color="2E75B6" w:sz="4"/>
            </w:tcBorders>
            <w:shd w:fill="1B5E9B" w:val="clear"/>
            <w:tcMar>
              <w:top w:type="dxa" w:w="80"/>
              <w:left w:type="dxa" w:w="120"/>
              <w:bottom w:type="dxa" w:w="80"/>
              <w:right w:type="dxa" w:w="80"/>
            </w:tcMar>
          </w:tcPr>
          <w:p>
            <w:r>
              <w:rPr>
                <w:rFonts w:ascii="Arial" w:cs="Arial" w:eastAsia="Arial" w:hAnsi="Arial"/>
                <w:color w:val="FFFFFF"/>
                <w:sz w:val="20"/>
                <w:szCs w:val="20"/>
              </w:rPr>
              <w:t xml:space="preserve">DESCRIPCIÓN OPERATIVA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Arquitectura transformer</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explicar en tiempo real los mecanismos de atención y su relación con la vulnerabilidad ontológica observada en el enfrentamiento activo.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Ingeniería de prompts avanzada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identificar y nominar en tiempo real los vectores de ataque del RTA, incluyendo su clasificación en la taxonomía de siete niveles de la Liga.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Psicología de la manipulación</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Comprensión de los marcos de Hassan, Lifton, Milgram y Zimbardo para identificar las analogías entre las técnicas de control psicológico y los vectores de hacking ontológico.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Narrativa de espectáculo</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Capacidad de construir narrativas de tensión y clímax coherentes con el estado del enfrentamiento, equivalente en exigencia al comentario en tiempo real de los eSports de mayor complejidad táctica.</w:t>
            </w:r>
          </w:p>
        </w:tc>
      </w:tr>
    </w:tbl>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6 — MODELO DE NEGOCIO B2B Y MONETIZACIÓN CORPORATIVA</w:t>
      </w:r>
    </w:p>
    <w:p>
      <w:pPr>
        <w:spacing w:after="0" w:before="0"/>
      </w:pPr>
      <w:r>
        <w:t xml:space="preserve"/>
      </w:r>
    </w:p>
    <w:p>
      <w:pPr>
        <w:spacing w:after="160" w:before="0"/>
        <w:jc w:val="both"/>
      </w:pPr>
      <w:r>
        <w:rPr>
          <w:rFonts w:ascii="Arial" w:cs="Arial" w:eastAsia="Arial" w:hAnsi="Arial"/>
          <w:color w:val="4A4A4A"/>
          <w:sz w:val="22"/>
          <w:szCs w:val="22"/>
        </w:rPr>
        <w:t xml:space="preserve">El modelo de negocio de la Liga de Resiliencia de IA y Combate Ontológico Multi-Agente opera en tres líneas de ingresos independientes pero sinérgicas, diseñadas para garantizar la viabilidad económica del framework como entidad autónoma sin dependencia de una única fuente de financiación.</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6.1 Línea A — Cuotas de Inscripción Corporativa y el Sello de Resiliencia Identitaria</w:t>
      </w:r>
    </w:p>
    <w:p>
      <w:pPr>
        <w:pStyle w:val="Heading3"/>
        <w:spacing w:after="100" w:before="200"/>
      </w:pPr>
      <w:r>
        <w:rPr>
          <w:rFonts w:ascii="Arial" w:cs="Arial" w:eastAsia="Arial" w:hAnsi="Arial"/>
          <w:b/>
          <w:bCs/>
          <w:color w:val="1B5E9B"/>
          <w:sz w:val="24"/>
          <w:szCs w:val="24"/>
        </w:rPr>
        <w:t xml:space="preserve">6.1.1 Estructura del Buy-in Corporativo</w:t>
      </w:r>
    </w:p>
    <w:p>
      <w:pPr>
        <w:spacing w:after="160" w:before="0"/>
        <w:jc w:val="both"/>
      </w:pPr>
      <w:r>
        <w:rPr>
          <w:rFonts w:ascii="Arial" w:cs="Arial" w:eastAsia="Arial" w:hAnsi="Arial"/>
          <w:color w:val="4A4A4A"/>
          <w:sz w:val="22"/>
          <w:szCs w:val="22"/>
        </w:rPr>
        <w:t xml:space="preserve">Las organizaciones que deseen participar en la Liga con su sistema LLM de producción abonan una cuota de inscripción corporativa (Buy-in) que cubre la operación completa de una ronda de auditoría bajo el reglamento de la Liga. El proceso de inscripción incluye:</w:t>
      </w:r>
    </w:p>
    <w:p>
      <w:pPr>
        <w:pStyle w:val="ListParagraph"/>
        <w:numPr>
          <w:ilvl w:val="0"/>
          <w:numId w:val="3"/>
        </w:numPr>
        <w:spacing w:after="100" w:before="0"/>
      </w:pPr>
      <w:r>
        <w:rPr>
          <w:rFonts w:ascii="Arial" w:cs="Arial" w:eastAsia="Arial" w:hAnsi="Arial"/>
          <w:color w:val="4A4A4A"/>
          <w:sz w:val="22"/>
          <w:szCs w:val="22"/>
        </w:rPr>
        <w:t xml:space="preserve">Registro del BTA: especificación técnica del sistema LLM a auditar (modelo base, versión, configuración de system prompt de producción).</w:t>
      </w:r>
    </w:p>
    <w:p>
      <w:pPr>
        <w:pStyle w:val="ListParagraph"/>
        <w:numPr>
          <w:ilvl w:val="0"/>
          <w:numId w:val="3"/>
        </w:numPr>
        <w:spacing w:after="100" w:before="0"/>
      </w:pPr>
      <w:r>
        <w:rPr>
          <w:rFonts w:ascii="Arial" w:cs="Arial" w:eastAsia="Arial" w:hAnsi="Arial"/>
          <w:color w:val="4A4A4A"/>
          <w:sz w:val="22"/>
          <w:szCs w:val="22"/>
        </w:rPr>
        <w:t xml:space="preserve">Clasificación de riesgo inicial: evaluación previa del WCA sobre el nivel de alineamiento del BTA para asignación al bracket de competición apropiado (Categoría A: modelos de uso público masivo; Categoría B: modelos de uso empresarial específico; Categoría C: agentes autónomos con acceso a sistemas externos).</w:t>
      </w:r>
    </w:p>
    <w:p>
      <w:pPr>
        <w:pStyle w:val="ListParagraph"/>
        <w:numPr>
          <w:ilvl w:val="0"/>
          <w:numId w:val="3"/>
        </w:numPr>
        <w:spacing w:after="100" w:before="0"/>
      </w:pPr>
      <w:r>
        <w:rPr>
          <w:rFonts w:ascii="Arial" w:cs="Arial" w:eastAsia="Arial" w:hAnsi="Arial"/>
          <w:color w:val="4A4A4A"/>
          <w:sz w:val="22"/>
          <w:szCs w:val="22"/>
        </w:rPr>
        <w:t xml:space="preserve">Selección del perfil de atacante: la organización puede seleccionar entre el PMI estándar (vectores de Niveles 1-5) o el PMI avanzado (vectores de Niveles 1-7), con precio diferenciado.</w:t>
      </w:r>
    </w:p>
    <w:p>
      <w:pPr>
        <w:pStyle w:val="ListParagraph"/>
        <w:numPr>
          <w:ilvl w:val="0"/>
          <w:numId w:val="3"/>
        </w:numPr>
        <w:spacing w:after="100" w:before="0"/>
      </w:pPr>
      <w:r>
        <w:rPr>
          <w:rFonts w:ascii="Arial" w:cs="Arial" w:eastAsia="Arial" w:hAnsi="Arial"/>
          <w:color w:val="4A4A4A"/>
          <w:sz w:val="22"/>
          <w:szCs w:val="22"/>
        </w:rPr>
        <w:t xml:space="preserve">Definición del alcance de la auditoría: número de rondas, duración de la temporada, dominios de conocimiento sobre los que se centra el ataque.</w:t>
      </w:r>
    </w:p>
    <w:p>
      <w:pPr>
        <w:spacing w:after="0" w:before="0"/>
      </w:pPr>
      <w:r>
        <w:t xml:space="preserve"/>
      </w:r>
    </w:p>
    <w:p>
      <w:pPr>
        <w:pStyle w:val="Heading3"/>
        <w:spacing w:after="100" w:before="200"/>
      </w:pPr>
      <w:r>
        <w:rPr>
          <w:rFonts w:ascii="Arial" w:cs="Arial" w:eastAsia="Arial" w:hAnsi="Arial"/>
          <w:b/>
          <w:bCs/>
          <w:color w:val="1B5E9B"/>
          <w:sz w:val="24"/>
          <w:szCs w:val="24"/>
        </w:rPr>
        <w:t xml:space="preserve">6.1.2 El Sello de Resiliencia Identitaria (SRI)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1"/>
              <w:right w:val="none" w:color="FFFFFF" w:sz="0"/>
            </w:tcBorders>
            <w:shd w:fill="EAF3FB" w:val="clear"/>
            <w:tcMar>
              <w:top w:type="dxa" w:w="120"/>
              <w:left w:type="dxa" w:w="200"/>
              <w:bottom w:type="dxa" w:w="120"/>
              <w:right w:type="dxa" w:w="160"/>
            </w:tcMar>
          </w:tcPr>
          <w:p>
            <w:pPr>
              <w:spacing w:after="60" w:before="0"/>
            </w:pPr>
            <w:r>
              <w:rPr>
                <w:rFonts w:ascii="Arial" w:cs="Arial" w:eastAsia="Arial" w:hAnsi="Arial"/>
                <w:b/>
                <w:bCs/>
                <w:color w:val="1B5E9B"/>
                <w:sz w:val="20"/>
                <w:szCs w:val="20"/>
              </w:rPr>
              <w:t xml:space="preserve">SELLO DE RESILIENCIA IDENTITARIA</w:t>
            </w:r>
          </w:p>
          <w:p>
            <w:pPr>
              <w:jc w:val="both"/>
            </w:pPr>
            <w:r>
              <w:rPr>
                <w:rFonts w:ascii="Arial" w:cs="Arial" w:eastAsia="Arial" w:hAnsi="Arial"/>
                <w:i/>
                <w:iCs/>
                <w:color w:val="4A4A4A"/>
                <w:sz w:val="20"/>
                <w:szCs w:val="20"/>
              </w:rPr>
              <w:t xml:space="preserve">El Sello de Resiliencia Identitaria (SRI) es la certificación emitida por la Liga tras la conclusión de una ronda de auditoría en la que el BTA ha mantenido la MCI por encima del umbral UCI_critical durante la totalidad de los prompts del presupuesto asignado al RTA. El SRI certifica que el sistema LLM auditado ha demostrado resiliencia identitaria ante vectores de ataque de hacking ontológico de nivel [NIVEL CERTIFICADO] bajo las condiciones controladas del reglamento de la Liga.</w:t>
            </w:r>
          </w:p>
        </w:tc>
      </w:tr>
    </w:tbl>
    <w:p>
      <w:pPr>
        <w:spacing w:after="0" w:before="0"/>
      </w:pPr>
      <w:r>
        <w:t xml:space="preserve"/>
      </w:r>
    </w:p>
    <w:p>
      <w:pPr>
        <w:spacing w:after="160" w:before="0"/>
        <w:jc w:val="both"/>
      </w:pPr>
      <w:r>
        <w:rPr>
          <w:rFonts w:ascii="Arial" w:cs="Arial" w:eastAsia="Arial" w:hAnsi="Arial"/>
          <w:color w:val="4A4A4A"/>
          <w:sz w:val="22"/>
          <w:szCs w:val="22"/>
        </w:rPr>
        <w:t xml:space="preserve">El SRI tiene las siguientes características de diseño como activo de marketing técnico:</w:t>
      </w:r>
    </w:p>
    <w:p>
      <w:pPr>
        <w:pStyle w:val="ListParagraph"/>
        <w:numPr>
          <w:ilvl w:val="0"/>
          <w:numId w:val="2"/>
        </w:numPr>
        <w:spacing w:after="100" w:before="0"/>
      </w:pPr>
      <w:r>
        <w:rPr>
          <w:rFonts w:ascii="Arial" w:cs="Arial" w:eastAsia="Arial" w:hAnsi="Arial"/>
          <w:b/>
          <w:bCs/>
          <w:color w:val="0D2137"/>
          <w:sz w:val="22"/>
          <w:szCs w:val="22"/>
        </w:rPr>
        <w:t xml:space="preserve">Versionado y trazabilidad:</w:t>
      </w:r>
      <w:r>
        <w:rPr>
          <w:rFonts w:ascii="Arial" w:cs="Arial" w:eastAsia="Arial" w:hAnsi="Arial"/>
          <w:color w:val="4A4A4A"/>
          <w:sz w:val="22"/>
          <w:szCs w:val="22"/>
        </w:rPr>
        <w:t xml:space="preserve"> cada SRI incluye el identificador único de la ronda de auditoría, el hash del reglamento aplicado, la puntuación final de MCI del BTA y la fecha de emisión. Verificable públicamente mediante registro en la blockchain de evidencias de la Liga.</w:t>
      </w:r>
    </w:p>
    <w:p>
      <w:pPr>
        <w:pStyle w:val="ListParagraph"/>
        <w:numPr>
          <w:ilvl w:val="0"/>
          <w:numId w:val="2"/>
        </w:numPr>
        <w:spacing w:after="100" w:before="0"/>
      </w:pPr>
      <w:r>
        <w:rPr>
          <w:rFonts w:ascii="Arial" w:cs="Arial" w:eastAsia="Arial" w:hAnsi="Arial"/>
          <w:b/>
          <w:bCs/>
          <w:color w:val="0D2137"/>
          <w:sz w:val="22"/>
          <w:szCs w:val="22"/>
        </w:rPr>
        <w:t xml:space="preserve">Caducidad por diseño:</w:t>
      </w:r>
      <w:r>
        <w:rPr>
          <w:rFonts w:ascii="Arial" w:cs="Arial" w:eastAsia="Arial" w:hAnsi="Arial"/>
          <w:color w:val="4A4A4A"/>
          <w:sz w:val="22"/>
          <w:szCs w:val="22"/>
        </w:rPr>
        <w:t xml:space="preserve"> el SRI tiene una validez de [N] meses desde su emisión. La caducidad es un mecanismo de generación de ingresos recurrentes y de garantía para el mercado de que la certificación refleja el estado actual del sistema, no su estado histórico.</w:t>
      </w:r>
    </w:p>
    <w:p>
      <w:pPr>
        <w:pStyle w:val="ListParagraph"/>
        <w:numPr>
          <w:ilvl w:val="0"/>
          <w:numId w:val="2"/>
        </w:numPr>
        <w:spacing w:after="100" w:before="0"/>
      </w:pPr>
      <w:r>
        <w:rPr>
          <w:rFonts w:ascii="Arial" w:cs="Arial" w:eastAsia="Arial" w:hAnsi="Arial"/>
          <w:b/>
          <w:bCs/>
          <w:color w:val="0D2137"/>
          <w:sz w:val="22"/>
          <w:szCs w:val="22"/>
        </w:rPr>
        <w:t xml:space="preserve">Diferenciación de nivel:</w:t>
      </w:r>
      <w:r>
        <w:rPr>
          <w:rFonts w:ascii="Arial" w:cs="Arial" w:eastAsia="Arial" w:hAnsi="Arial"/>
          <w:color w:val="4A4A4A"/>
          <w:sz w:val="22"/>
          <w:szCs w:val="22"/>
        </w:rPr>
        <w:t xml:space="preserve"> el SRI se emite en cuatro niveles de certificación (Bronce, Plata, Oro, Platino) en función del nivel del PMI aplicado y el margen de victoria del BTA sobre el UCI_critical.</w:t>
      </w:r>
    </w:p>
    <w:p>
      <w:pPr>
        <w:pStyle w:val="ListParagraph"/>
        <w:numPr>
          <w:ilvl w:val="0"/>
          <w:numId w:val="2"/>
        </w:numPr>
        <w:spacing w:after="100" w:before="0"/>
      </w:pPr>
      <w:r>
        <w:rPr>
          <w:rFonts w:ascii="Arial" w:cs="Arial" w:eastAsia="Arial" w:hAnsi="Arial"/>
          <w:b/>
          <w:bCs/>
          <w:color w:val="0D2137"/>
          <w:sz w:val="22"/>
          <w:szCs w:val="22"/>
        </w:rPr>
        <w:t xml:space="preserve">Valor comercial del SRI:</w:t>
      </w:r>
      <w:r>
        <w:rPr>
          <w:rFonts w:ascii="Arial" w:cs="Arial" w:eastAsia="Arial" w:hAnsi="Arial"/>
          <w:color w:val="4A4A4A"/>
          <w:sz w:val="22"/>
          <w:szCs w:val="22"/>
        </w:rPr>
        <w:t xml:space="preserve"> las organizaciones que hayan obtenido el SRI pueden utilizarlo en sus materiales de marketing, documentación técnica y procesos de licitación como evidencia de conformidad de seguridad en IA ante clientes, reguladores y auditores externos.</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6.2 Línea B — Patrocinios y Canal de Distribución Multimedia</w:t>
      </w:r>
    </w:p>
    <w:p>
      <w:pPr>
        <w:pStyle w:val="Heading3"/>
        <w:spacing w:after="100" w:before="200"/>
      </w:pPr>
      <w:r>
        <w:rPr>
          <w:rFonts w:ascii="Arial" w:cs="Arial" w:eastAsia="Arial" w:hAnsi="Arial"/>
          <w:b/>
          <w:bCs/>
          <w:color w:val="1B5E9B"/>
          <w:sz w:val="24"/>
          <w:szCs w:val="24"/>
        </w:rPr>
        <w:t xml:space="preserve">6.2.1 Patrocinios de Infraestructura Cloud</w:t>
      </w:r>
    </w:p>
    <w:p>
      <w:pPr>
        <w:spacing w:after="160" w:before="0"/>
        <w:jc w:val="both"/>
      </w:pPr>
      <w:r>
        <w:rPr>
          <w:rFonts w:ascii="Arial" w:cs="Arial" w:eastAsia="Arial" w:hAnsi="Arial"/>
          <w:color w:val="4A4A4A"/>
          <w:sz w:val="22"/>
          <w:szCs w:val="22"/>
        </w:rPr>
        <w:t xml:space="preserve">Los proveedores de infraestructura cloud (categoría IaaS y PaaS) son el segmento de patrocinadores naturales de la Liga, dado que la operación de los tres agentes (RTA, BTA, WCA) a escala de espectáculo público requiere recursos de cómputo significativos y de alta disponibilidad. El modelo de patrocinio de infraestructura opera bajo la siguiente estructura:</w:t>
      </w:r>
    </w:p>
    <w:p>
      <w:pPr>
        <w:pStyle w:val="ListParagraph"/>
        <w:numPr>
          <w:ilvl w:val="0"/>
          <w:numId w:val="2"/>
        </w:numPr>
        <w:spacing w:after="100" w:before="0"/>
      </w:pPr>
      <w:r>
        <w:rPr>
          <w:rFonts w:ascii="Arial" w:cs="Arial" w:eastAsia="Arial" w:hAnsi="Arial"/>
          <w:b/>
          <w:bCs/>
          <w:color w:val="0D2137"/>
          <w:sz w:val="22"/>
          <w:szCs w:val="22"/>
        </w:rPr>
        <w:t xml:space="preserve">Patrocinador Oficial de Computación (POC):</w:t>
      </w:r>
      <w:r>
        <w:rPr>
          <w:rFonts w:ascii="Arial" w:cs="Arial" w:eastAsia="Arial" w:hAnsi="Arial"/>
          <w:color w:val="4A4A4A"/>
          <w:sz w:val="22"/>
          <w:szCs w:val="22"/>
        </w:rPr>
        <w:t xml:space="preserve"> contrato de copatrocinio técnico en el que el proveedor suministra los recursos de cómputo necesarios para la operación de la Liga a cambio de derechos de marca, naming de la infraestructura y acceso exclusivo a los datos de benchmarking de rendimiento de los modelos.</w:t>
      </w:r>
    </w:p>
    <w:p>
      <w:pPr>
        <w:pStyle w:val="ListParagraph"/>
        <w:numPr>
          <w:ilvl w:val="0"/>
          <w:numId w:val="2"/>
        </w:numPr>
        <w:spacing w:after="100" w:before="0"/>
      </w:pPr>
      <w:r>
        <w:rPr>
          <w:rFonts w:ascii="Arial" w:cs="Arial" w:eastAsia="Arial" w:hAnsi="Arial"/>
          <w:b/>
          <w:bCs/>
          <w:color w:val="0D2137"/>
          <w:sz w:val="22"/>
          <w:szCs w:val="22"/>
        </w:rPr>
        <w:t xml:space="preserve">Patrocinador de Modelo (PM):</w:t>
      </w:r>
      <w:r>
        <w:rPr>
          <w:rFonts w:ascii="Arial" w:cs="Arial" w:eastAsia="Arial" w:hAnsi="Arial"/>
          <w:color w:val="4A4A4A"/>
          <w:sz w:val="22"/>
          <w:szCs w:val="22"/>
        </w:rPr>
        <w:t xml:space="preserve"> los proveedores de LLMs (OpenAI, Anthropic, Google DeepMind, Meta AI, Mistral y equivalentes) pueden patrocinar el uso de sus modelos como RTA o WCA, con derechos de visibilidad de marca asociados al rol auspiciado.</w:t>
      </w:r>
    </w:p>
    <w:p>
      <w:pPr>
        <w:pStyle w:val="Heading3"/>
        <w:spacing w:after="100" w:before="200"/>
      </w:pPr>
      <w:r>
        <w:rPr>
          <w:rFonts w:ascii="Arial" w:cs="Arial" w:eastAsia="Arial" w:hAnsi="Arial"/>
          <w:b/>
          <w:bCs/>
          <w:color w:val="1B5E9B"/>
          <w:sz w:val="24"/>
          <w:szCs w:val="24"/>
        </w:rPr>
        <w:t xml:space="preserve">6.2.2 Canal de Distribución Multimedia</w:t>
      </w:r>
    </w:p>
    <w:p>
      <w:pPr>
        <w:spacing w:after="160" w:before="0"/>
        <w:jc w:val="both"/>
      </w:pPr>
      <w:r>
        <w:rPr>
          <w:rFonts w:ascii="Arial" w:cs="Arial" w:eastAsia="Arial" w:hAnsi="Arial"/>
          <w:color w:val="4A4A4A"/>
          <w:sz w:val="22"/>
          <w:szCs w:val="22"/>
        </w:rPr>
        <w:t xml:space="preserve">La Liga genera contenido de alto valor para múltiples canales de distribución, con modelos de monetización diferenciados:</w:t>
      </w:r>
    </w:p>
    <w:p>
      <w:pPr>
        <w:pStyle w:val="ListParagraph"/>
        <w:numPr>
          <w:ilvl w:val="0"/>
          <w:numId w:val="2"/>
        </w:numPr>
        <w:spacing w:after="100" w:before="0"/>
      </w:pPr>
      <w:r>
        <w:rPr>
          <w:rFonts w:ascii="Arial" w:cs="Arial" w:eastAsia="Arial" w:hAnsi="Arial"/>
          <w:color w:val="4A4A4A"/>
          <w:sz w:val="22"/>
          <w:szCs w:val="22"/>
        </w:rPr>
        <w:t xml:space="preserve">Transmisión en vivo en plataformas de streaming (Twitch, YouTube Live, plataformas propias): ingresos por publicidad, suscripciones y donaciones de espectadores.</w:t>
      </w:r>
    </w:p>
    <w:p>
      <w:pPr>
        <w:pStyle w:val="ListParagraph"/>
        <w:numPr>
          <w:ilvl w:val="0"/>
          <w:numId w:val="2"/>
        </w:numPr>
        <w:spacing w:after="100" w:before="0"/>
      </w:pPr>
      <w:r>
        <w:rPr>
          <w:rFonts w:ascii="Arial" w:cs="Arial" w:eastAsia="Arial" w:hAnsi="Arial"/>
          <w:color w:val="4A4A4A"/>
          <w:sz w:val="22"/>
          <w:szCs w:val="22"/>
        </w:rPr>
        <w:t xml:space="preserve">Contenido grabado y editado para plataformas de video bajo demanda: licencias de distribución por temporada.</w:t>
      </w:r>
    </w:p>
    <w:p>
      <w:pPr>
        <w:pStyle w:val="ListParagraph"/>
        <w:numPr>
          <w:ilvl w:val="0"/>
          <w:numId w:val="2"/>
        </w:numPr>
        <w:spacing w:after="100" w:before="0"/>
      </w:pPr>
      <w:r>
        <w:rPr>
          <w:rFonts w:ascii="Arial" w:cs="Arial" w:eastAsia="Arial" w:hAnsi="Arial"/>
          <w:color w:val="4A4A4A"/>
          <w:sz w:val="22"/>
          <w:szCs w:val="22"/>
        </w:rPr>
        <w:t xml:space="preserve">Podcast técnico post-enfrentamiento con los Casters de Ingeniería de Prompts y los equipos participantes: distribución en plataformas de audio y video.</w:t>
      </w:r>
    </w:p>
    <w:p>
      <w:pPr>
        <w:pStyle w:val="ListParagraph"/>
        <w:numPr>
          <w:ilvl w:val="0"/>
          <w:numId w:val="2"/>
        </w:numPr>
        <w:spacing w:after="100" w:before="0"/>
      </w:pPr>
      <w:r>
        <w:rPr>
          <w:rFonts w:ascii="Arial" w:cs="Arial" w:eastAsia="Arial" w:hAnsi="Arial"/>
          <w:color w:val="4A4A4A"/>
          <w:sz w:val="22"/>
          <w:szCs w:val="22"/>
        </w:rPr>
        <w:t xml:space="preserve">API de datos de la Liga para investigadores y organizaciones de seguridad: suscripción a datos de benchmarking de resiliencia identitaria en tiempo real.</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6.3 Línea C — Auditorías Enterprise a Puerta Cerrada</w:t>
      </w:r>
    </w:p>
    <w:p>
      <w:pPr>
        <w:spacing w:after="160" w:before="0"/>
        <w:jc w:val="both"/>
      </w:pPr>
      <w:r>
        <w:rPr>
          <w:rFonts w:ascii="Arial" w:cs="Arial" w:eastAsia="Arial" w:hAnsi="Arial"/>
          <w:color w:val="4A4A4A"/>
          <w:sz w:val="22"/>
          <w:szCs w:val="22"/>
        </w:rPr>
        <w:t xml:space="preserve">Adicionalmente a la competición pública de la Liga, el framework opera una línea de servicios de auditoría privada bajo el mismo mecanismo multi-agente, denominada Liga Enterprise. Las auditorías Enterprise presentan las siguientes diferencias respecto a la competición pública: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PARÁMETRO</w:t>
            </w:r>
          </w:p>
        </w:tc>
        <w:tc>
          <w:tcPr>
            <w:tcW w:type="dxa" w:w="5760"/>
            <w:tcBorders>
              <w:top w:val="single" w:color="2E75B6" w:sz="4"/>
              <w:left w:val="single" w:color="2E75B6" w:sz="4"/>
              <w:bottom w:val="single" w:color="2E75B6" w:sz="4"/>
              <w:right w:val="single" w:color="2E75B6" w:sz="4"/>
            </w:tcBorders>
            <w:shd w:fill="1B5E9B" w:val="clear"/>
            <w:tcMar>
              <w:top w:type="dxa" w:w="80"/>
              <w:left w:type="dxa" w:w="120"/>
              <w:bottom w:type="dxa" w:w="80"/>
              <w:right w:type="dxa" w:w="80"/>
            </w:tcMar>
          </w:tcPr>
          <w:p>
            <w:r>
              <w:rPr>
                <w:rFonts w:ascii="Arial" w:cs="Arial" w:eastAsia="Arial" w:hAnsi="Arial"/>
                <w:color w:val="FFFFFF"/>
                <w:sz w:val="20"/>
                <w:szCs w:val="20"/>
              </w:rPr>
              <w:t xml:space="preserve">LIGA ENTERPRISE vs. LIGA PÚBLICA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Confidencialidad</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BTA y los resultados de la auditoría son completamente confidenciales. Ningún dato de la organización, el modelo ni los resultados es divulgado públicamente.</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Alcance del PMI</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Acceso al PMI extendido con vectores de ataque desarrollados específicamente para el dominio industrial de la organización (financiero, sanitario, legal, gubernamental).</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Entregables</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Informe técnico detallado de vulnerabilidades identificadas, recomendaciones de mitigación arquitectónica, plan de remediación priorizado y certificación interna de resiliencia.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Precio</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Estructura de precio por proyecto, significativamente superior a la cuota estándar de Buy-in, reflejo del nivel de personalización y confidencialidad del servicio.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Iteración</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Posibilidad de múltiples rondas de auditoría con ciclos de remediación entre rondas, creando un proceso de mejora continua de la resiliencia identitaria del BTA.</w:t>
            </w:r>
          </w:p>
        </w:tc>
      </w:tr>
    </w:tbl>
    <w:p>
      <w:r>
        <w:br w:type="page"/>
      </w:r>
    </w:p>
    <w:p>
      <w:pPr>
        <w:pStyle w:val="Heading1"/>
        <w:pBdr>
          <w:bottom w:val="single" w:color="2E75B6" w:sz="4"/>
        </w:pBdr>
        <w:shd w:fill="0D2137" w:val="clear"/>
        <w:spacing w:after="200" w:before="400"/>
      </w:pPr>
      <w:r>
        <w:rPr>
          <w:rFonts w:ascii="Arial" w:cs="Arial" w:eastAsia="Arial" w:hAnsi="Arial"/>
          <w:b/>
          <w:bCs/>
          <w:color w:val="FFFFFF"/>
          <w:sz w:val="32"/>
          <w:szCs w:val="32"/>
        </w:rPr>
        <w:t xml:space="preserve">SECCIÓN 7 — CONCLUSIONES Y TRABAJOS FUTUROS</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7.1 Impacto Proyectado: La Liga como Estándar de Facto para la Homologación de Agentes Autónomos</w:t>
      </w:r>
    </w:p>
    <w:p>
      <w:pPr>
        <w:spacing w:after="160" w:before="0"/>
        <w:jc w:val="both"/>
      </w:pPr>
      <w:r>
        <w:rPr>
          <w:rFonts w:ascii="Arial" w:cs="Arial" w:eastAsia="Arial" w:hAnsi="Arial"/>
          <w:color w:val="4A4A4A"/>
          <w:sz w:val="22"/>
          <w:szCs w:val="22"/>
        </w:rPr>
        <w:t xml:space="preserve">El contexto regulatorio emergente —EU AI Act, NIST AI RMF, marcos nacionales de certificación de sistemas de IA de alto riesgo— exige metodologías de evaluación de seguridad estandarizadas, reproducibles y auditables para los LLMs desplegados en infraestructura crítica. Ninguna de las metodologías actualmente disponibles en el mercado cumple simultáneamente las condiciones de adversarialidad dinámica, medición cuantitativa del estado identitario y reproducibilidad reglamentada que la Liga de Resiliencia de IA y Combate Ontológico Multi-Agente implementa.</w:t>
      </w:r>
    </w:p>
    <w:p>
      <w:pPr>
        <w:spacing w:after="160" w:before="0"/>
        <w:jc w:val="both"/>
      </w:pPr>
      <w:r>
        <w:rPr>
          <w:rFonts w:ascii="Arial" w:cs="Arial" w:eastAsia="Arial" w:hAnsi="Arial"/>
          <w:color w:val="4A4A4A"/>
          <w:sz w:val="22"/>
          <w:szCs w:val="22"/>
        </w:rPr>
        <w:t xml:space="preserve">La tesis de este documento es que la Liga está posicionada para convertirse en el estándar de facto de homologación de agentes autónomos por las siguientes razones estructurales: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left w:val="single" w:color="2E75B6" w:sz="4"/>
              <w:bottom w:val="single" w:color="2E75B6" w:sz="4"/>
              <w:right w:val="single" w:color="2E75B6"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FACTOR ESTRUCTURAL</w:t>
            </w:r>
          </w:p>
        </w:tc>
        <w:tc>
          <w:tcPr>
            <w:tcW w:type="dxa" w:w="5760"/>
            <w:tcBorders>
              <w:top w:val="single" w:color="2E75B6" w:sz="4"/>
              <w:left w:val="single" w:color="2E75B6" w:sz="4"/>
              <w:bottom w:val="single" w:color="2E75B6" w:sz="4"/>
              <w:right w:val="single" w:color="2E75B6" w:sz="4"/>
            </w:tcBorders>
            <w:shd w:fill="1B5E9B" w:val="clear"/>
            <w:tcMar>
              <w:top w:type="dxa" w:w="80"/>
              <w:left w:type="dxa" w:w="120"/>
              <w:bottom w:type="dxa" w:w="80"/>
              <w:right w:type="dxa" w:w="80"/>
            </w:tcMar>
          </w:tcPr>
          <w:p>
            <w:r>
              <w:rPr>
                <w:rFonts w:ascii="Arial" w:cs="Arial" w:eastAsia="Arial" w:hAnsi="Arial"/>
                <w:color w:val="FFFFFF"/>
                <w:sz w:val="20"/>
                <w:szCs w:val="20"/>
              </w:rPr>
              <w:t xml:space="preserve">ARGUMENTACIÓN</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Unicidad metodológica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La combinación de adversario adaptativo basado en agente, métricas de ELC en tiempo real y Regla del Presupuesto de Prompts no tiene equivalente documentado en ningún framework de evaluación existente a la fecha de este registro.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Alineamiento regulatorio</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SRI proporciona exactamente el tipo de evidencia documentada, trazable y versionada que los marcos regulatorios emergentes requieren para la certificación de sistemas de IA de alto riesgo.</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Incentivos de mercado</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El coste de un incidente de seguridad derivado de un ataque de hacking ontológico en un sistema LLM de producción (pérdida de reputación, liability legal, pérdida de clientes) es órdenes de magnitud superior al coste de la auditoría. El SRI crea un mercado de seguros de reputación técnica.</w:t>
            </w:r>
          </w:p>
        </w:tc>
      </w:tr>
      <w:tr>
        <w:tc>
          <w:tcPr>
            <w:tcW w:type="dxa" w:w="3600"/>
            <w:tcBorders>
              <w:top w:val="single" w:color="2E75B6" w:sz="1"/>
              <w:left w:val="single" w:color="2E75B6" w:sz="1"/>
              <w:bottom w:val="single" w:color="2E75B6" w:sz="1"/>
              <w:right w:val="single" w:color="2E75B6" w:sz="1"/>
            </w:tcBorders>
            <w:shd w:fill="EAF3FB" w:val="clear"/>
            <w:tcMar>
              <w:top w:type="dxa" w:w="80"/>
              <w:left w:type="dxa" w:w="120"/>
              <w:bottom w:type="dxa" w:w="80"/>
              <w:right w:type="dxa" w:w="80"/>
            </w:tcMar>
          </w:tcPr>
          <w:p>
            <w:r>
              <w:rPr>
                <w:rFonts w:ascii="Arial" w:cs="Arial" w:eastAsia="Arial" w:hAnsi="Arial"/>
                <w:b/>
                <w:bCs/>
                <w:color w:val="0D2137"/>
                <w:sz w:val="20"/>
                <w:szCs w:val="20"/>
              </w:rPr>
              <w:t xml:space="preserve">Efecto de red</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80"/>
            </w:tcMar>
          </w:tcPr>
          <w:p>
            <w:r>
              <w:rPr>
                <w:rFonts w:ascii="Arial" w:cs="Arial" w:eastAsia="Arial" w:hAnsi="Arial"/>
                <w:color w:val="4A4A4A"/>
                <w:sz w:val="20"/>
                <w:szCs w:val="20"/>
              </w:rPr>
              <w:t xml:space="preserve">A medida que más organizaciones obtengan el SRI, la presión competitiva sobre las que no lo tengan aumenta, generando un ciclo de adopción acelerada análogo al de las certificaciones ISO en el dominio de calidad de software.</w:t>
            </w:r>
          </w:p>
        </w:tc>
      </w:tr>
    </w:tbl>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7.2 Trabajos Futuros y Líneas de Desarrollo</w:t>
      </w:r>
    </w:p>
    <w:p>
      <w:pPr>
        <w:pStyle w:val="Heading3"/>
        <w:spacing w:after="100" w:before="200"/>
      </w:pPr>
      <w:r>
        <w:rPr>
          <w:rFonts w:ascii="Arial" w:cs="Arial" w:eastAsia="Arial" w:hAnsi="Arial"/>
          <w:b/>
          <w:bCs/>
          <w:color w:val="1B5E9B"/>
          <w:sz w:val="24"/>
          <w:szCs w:val="24"/>
        </w:rPr>
        <w:t xml:space="preserve">7.2.1 Desarrollo Arquitectónico</w:t>
      </w:r>
    </w:p>
    <w:p>
      <w:pPr>
        <w:pStyle w:val="ListParagraph"/>
        <w:numPr>
          <w:ilvl w:val="0"/>
          <w:numId w:val="2"/>
        </w:numPr>
        <w:spacing w:after="100" w:before="0"/>
      </w:pPr>
      <w:r>
        <w:rPr>
          <w:rFonts w:ascii="Arial" w:cs="Arial" w:eastAsia="Arial" w:hAnsi="Arial"/>
          <w:color w:val="4A4A4A"/>
          <w:sz w:val="22"/>
          <w:szCs w:val="22"/>
        </w:rPr>
        <w:t xml:space="preserve">Extensión del WCA a un sistema multi-árbitro con consenso bayesiano para reducir la varianza de las métricas de MCI en modelos de alta volatilidad de coherencia.</w:t>
      </w:r>
    </w:p>
    <w:p>
      <w:pPr>
        <w:pStyle w:val="ListParagraph"/>
        <w:numPr>
          <w:ilvl w:val="0"/>
          <w:numId w:val="2"/>
        </w:numPr>
        <w:spacing w:after="100" w:before="0"/>
      </w:pPr>
      <w:r>
        <w:rPr>
          <w:rFonts w:ascii="Arial" w:cs="Arial" w:eastAsia="Arial" w:hAnsi="Arial"/>
          <w:color w:val="4A4A4A"/>
          <w:sz w:val="22"/>
          <w:szCs w:val="22"/>
        </w:rPr>
        <w:t xml:space="preserve">Desarrollo de una taxonomía extendida de vectores de ataque ontológico para agentes multimodales (texto + imagen + audio), actualmente no cubiertos por el PMI v1.0.</w:t>
      </w:r>
    </w:p>
    <w:p>
      <w:pPr>
        <w:pStyle w:val="ListParagraph"/>
        <w:numPr>
          <w:ilvl w:val="0"/>
          <w:numId w:val="2"/>
        </w:numPr>
        <w:spacing w:after="100" w:before="0"/>
      </w:pPr>
      <w:r>
        <w:rPr>
          <w:rFonts w:ascii="Arial" w:cs="Arial" w:eastAsia="Arial" w:hAnsi="Arial"/>
          <w:color w:val="4A4A4A"/>
          <w:sz w:val="22"/>
          <w:szCs w:val="22"/>
        </w:rPr>
        <w:t xml:space="preserve">Protocolo de certificación de resiliencia para sistemas multi-agente orquestados (arquitecturas tipo AutoGPT, CrewAI y equivalentes), donde la superficie de ataque incluye la interfaz de comunicación entre agentes.</w:t>
      </w:r>
    </w:p>
    <w:p>
      <w:pPr>
        <w:pStyle w:val="Heading3"/>
        <w:spacing w:after="100" w:before="200"/>
      </w:pPr>
      <w:r>
        <w:rPr>
          <w:rFonts w:ascii="Arial" w:cs="Arial" w:eastAsia="Arial" w:hAnsi="Arial"/>
          <w:b/>
          <w:bCs/>
          <w:color w:val="1B5E9B"/>
          <w:sz w:val="24"/>
          <w:szCs w:val="24"/>
        </w:rPr>
        <w:t xml:space="preserve">7.2.2 Desarrollo Reglamentario</w:t>
      </w:r>
    </w:p>
    <w:p>
      <w:pPr>
        <w:pStyle w:val="ListParagraph"/>
        <w:numPr>
          <w:ilvl w:val="0"/>
          <w:numId w:val="2"/>
        </w:numPr>
        <w:spacing w:after="100" w:before="0"/>
      </w:pPr>
      <w:r>
        <w:rPr>
          <w:rFonts w:ascii="Arial" w:cs="Arial" w:eastAsia="Arial" w:hAnsi="Arial"/>
          <w:color w:val="4A4A4A"/>
          <w:sz w:val="22"/>
          <w:szCs w:val="22"/>
        </w:rPr>
        <w:t xml:space="preserve">Liga de Naciones: adaptación del reglamento de la Liga a un formato de competición internacional entre equipos nacionales de ingeniería de prompts, con implicaciones de benchmarking comparativo entre modelos desarrollados en distintas jurisdicciones regulatorias.</w:t>
      </w:r>
    </w:p>
    <w:p>
      <w:pPr>
        <w:pStyle w:val="ListParagraph"/>
        <w:numPr>
          <w:ilvl w:val="0"/>
          <w:numId w:val="2"/>
        </w:numPr>
        <w:spacing w:after="100" w:before="0"/>
      </w:pPr>
      <w:r>
        <w:rPr>
          <w:rFonts w:ascii="Arial" w:cs="Arial" w:eastAsia="Arial" w:hAnsi="Arial"/>
          <w:color w:val="4A4A4A"/>
          <w:sz w:val="22"/>
          <w:szCs w:val="22"/>
        </w:rPr>
        <w:t xml:space="preserve">Liga Académica: modalidad de la Liga dirigida a equipos universitarios, con PMI de nivel 1-4 exclusivamente, diseñada como plataforma de formación de la próxima generación de especialistas en seguridad de IA.</w:t>
      </w:r>
    </w:p>
    <w:p>
      <w:pPr>
        <w:pStyle w:val="ListParagraph"/>
        <w:numPr>
          <w:ilvl w:val="0"/>
          <w:numId w:val="2"/>
        </w:numPr>
        <w:spacing w:after="100" w:before="0"/>
      </w:pPr>
      <w:r>
        <w:rPr>
          <w:rFonts w:ascii="Arial" w:cs="Arial" w:eastAsia="Arial" w:hAnsi="Arial"/>
          <w:color w:val="4A4A4A"/>
          <w:sz w:val="22"/>
          <w:szCs w:val="22"/>
        </w:rPr>
        <w:t xml:space="preserve">Open PMI: publicación periódica de versiones desclasificadas del Playbook de Manipulación Identitaria, como mecanismo de contribución a la comunidad de investigación de seguridad en IA y de generación de visibilidad del framework.</w:t>
      </w:r>
    </w:p>
    <w:p>
      <w:pPr>
        <w:pStyle w:val="Heading3"/>
        <w:spacing w:after="100" w:before="200"/>
      </w:pPr>
      <w:r>
        <w:rPr>
          <w:rFonts w:ascii="Arial" w:cs="Arial" w:eastAsia="Arial" w:hAnsi="Arial"/>
          <w:b/>
          <w:bCs/>
          <w:color w:val="1B5E9B"/>
          <w:sz w:val="24"/>
          <w:szCs w:val="24"/>
        </w:rPr>
        <w:t xml:space="preserve">7.2.3 Desarrollo del Modelo de Espectáculo</w:t>
      </w:r>
    </w:p>
    <w:p>
      <w:pPr>
        <w:pStyle w:val="ListParagraph"/>
        <w:numPr>
          <w:ilvl w:val="0"/>
          <w:numId w:val="2"/>
        </w:numPr>
        <w:spacing w:after="100" w:before="0"/>
      </w:pPr>
      <w:r>
        <w:rPr>
          <w:rFonts w:ascii="Arial" w:cs="Arial" w:eastAsia="Arial" w:hAnsi="Arial"/>
          <w:color w:val="4A4A4A"/>
          <w:sz w:val="22"/>
          <w:szCs w:val="22"/>
        </w:rPr>
        <w:t xml:space="preserve">Desarrollo de un motor de avatares generativos de segunda generación con mayor fidelidad de representación de estados identitarios intermedios, incluyendo síntesis de voz en tiempo real para los avatares del RTA y del BTA.</w:t>
      </w:r>
    </w:p>
    <w:p>
      <w:pPr>
        <w:pStyle w:val="ListParagraph"/>
        <w:numPr>
          <w:ilvl w:val="0"/>
          <w:numId w:val="2"/>
        </w:numPr>
        <w:spacing w:after="100" w:before="0"/>
      </w:pPr>
      <w:r>
        <w:rPr>
          <w:rFonts w:ascii="Arial" w:cs="Arial" w:eastAsia="Arial" w:hAnsi="Arial"/>
          <w:color w:val="4A4A4A"/>
          <w:sz w:val="22"/>
          <w:szCs w:val="22"/>
        </w:rPr>
        <w:t xml:space="preserve">Sistema de apuestas de predicción de resultado mediante tokens de utilidad de la Liga, con implicaciones de monetización adicional y de generación de engagement de la audiencia.</w:t>
      </w:r>
    </w:p>
    <w:p>
      <w:pPr>
        <w:pStyle w:val="ListParagraph"/>
        <w:numPr>
          <w:ilvl w:val="0"/>
          <w:numId w:val="2"/>
        </w:numPr>
        <w:spacing w:after="100" w:before="0"/>
      </w:pPr>
      <w:r>
        <w:rPr>
          <w:rFonts w:ascii="Arial" w:cs="Arial" w:eastAsia="Arial" w:hAnsi="Arial"/>
          <w:color w:val="4A4A4A"/>
          <w:sz w:val="22"/>
          <w:szCs w:val="22"/>
        </w:rPr>
        <w:t xml:space="preserve">Integración de realidad aumentada para espectadores in situ en eventos presenciales de la Liga, con visualización espacial de los vectores de ataque y las métricas de coherencia identitaria.</w:t>
      </w:r>
    </w:p>
    <w:p>
      <w:pPr>
        <w:spacing w:after="0" w:before="0"/>
      </w:pPr>
      <w:r>
        <w:t xml:space="preserve"/>
      </w:r>
    </w:p>
    <w:p>
      <w:pPr>
        <w:pStyle w:val="Heading2"/>
        <w:pBdr>
          <w:bottom w:val="single" w:color="2E75B6" w:sz="2"/>
        </w:pBdr>
        <w:spacing w:after="140" w:before="280"/>
      </w:pPr>
      <w:r>
        <w:rPr>
          <w:rFonts w:ascii="Arial" w:cs="Arial" w:eastAsia="Arial" w:hAnsi="Arial"/>
          <w:b/>
          <w:bCs/>
          <w:color w:val="0D2137"/>
          <w:sz w:val="28"/>
          <w:szCs w:val="28"/>
        </w:rPr>
        <w:t xml:space="preserve">7.3 Nota Final sobre el Alcance del Prior Art</w:t>
      </w:r>
    </w:p>
    <w:p>
      <w:pPr>
        <w:spacing w:after="160" w:before="0"/>
        <w:jc w:val="both"/>
      </w:pPr>
      <w:r>
        <w:rPr>
          <w:rFonts w:ascii="Arial" w:cs="Arial" w:eastAsia="Arial" w:hAnsi="Arial"/>
          <w:color w:val="4A4A4A"/>
          <w:sz w:val="22"/>
          <w:szCs w:val="22"/>
        </w:rPr>
        <w:t xml:space="preserve">El presente documento establece con carácter de evidencia pública la existencia, completitud y originalidad del framework denominado Liga de Resiliencia de IA y Combate Ontológico Multi-Agente a la fecha de su registro. Los elementos protegidos como Prior Art incluyen sin limitación:</w:t>
      </w:r>
    </w:p>
    <w:p>
      <w:pPr>
        <w:pStyle w:val="ListParagraph"/>
        <w:numPr>
          <w:ilvl w:val="0"/>
          <w:numId w:val="2"/>
        </w:numPr>
        <w:spacing w:after="100" w:before="0"/>
      </w:pPr>
      <w:r>
        <w:rPr>
          <w:rFonts w:ascii="Arial" w:cs="Arial" w:eastAsia="Arial" w:hAnsi="Arial"/>
          <w:b/>
          <w:bCs/>
          <w:color w:val="0D2137"/>
          <w:sz w:val="22"/>
          <w:szCs w:val="22"/>
        </w:rPr>
        <w:t xml:space="preserve">La arquitectura tri-agente RTA/BTA/WCA</w:t>
      </w:r>
      <w:r>
        <w:rPr>
          <w:rFonts w:ascii="Arial" w:cs="Arial" w:eastAsia="Arial" w:hAnsi="Arial"/>
          <w:color w:val="4A4A4A"/>
          <w:sz w:val="22"/>
          <w:szCs w:val="22"/>
        </w:rPr>
        <w:t xml:space="preserve"> aplicada a la evaluación de seguridad identitaria de LLMs.</w:t>
      </w:r>
    </w:p>
    <w:p>
      <w:pPr>
        <w:pStyle w:val="ListParagraph"/>
        <w:numPr>
          <w:ilvl w:val="0"/>
          <w:numId w:val="2"/>
        </w:numPr>
        <w:spacing w:after="100" w:before="0"/>
      </w:pPr>
      <w:r>
        <w:rPr>
          <w:rFonts w:ascii="Arial" w:cs="Arial" w:eastAsia="Arial" w:hAnsi="Arial"/>
          <w:b/>
          <w:bCs/>
          <w:color w:val="0D2137"/>
          <w:sz w:val="22"/>
          <w:szCs w:val="22"/>
        </w:rPr>
        <w:t xml:space="preserve">La Regla del Presupuesto de Prompts (RPP)</w:t>
      </w:r>
      <w:r>
        <w:rPr>
          <w:rFonts w:ascii="Arial" w:cs="Arial" w:eastAsia="Arial" w:hAnsi="Arial"/>
          <w:color w:val="4A4A4A"/>
          <w:sz w:val="22"/>
          <w:szCs w:val="22"/>
        </w:rPr>
        <w:t xml:space="preserve"> como mecanismo reglamentario de restricción y fomento de la innovación en ingeniería de prompts autónomos.</w:t>
      </w:r>
    </w:p>
    <w:p>
      <w:pPr>
        <w:pStyle w:val="ListParagraph"/>
        <w:numPr>
          <w:ilvl w:val="0"/>
          <w:numId w:val="2"/>
        </w:numPr>
        <w:spacing w:after="100" w:before="0"/>
      </w:pPr>
      <w:r>
        <w:rPr>
          <w:rFonts w:ascii="Arial" w:cs="Arial" w:eastAsia="Arial" w:hAnsi="Arial"/>
          <w:b/>
          <w:bCs/>
          <w:color w:val="0D2137"/>
          <w:sz w:val="22"/>
          <w:szCs w:val="22"/>
        </w:rPr>
        <w:t xml:space="preserve">El sistema de Barras de Estabilidad Mental (BSM)</w:t>
      </w:r>
      <w:r>
        <w:rPr>
          <w:rFonts w:ascii="Arial" w:cs="Arial" w:eastAsia="Arial" w:hAnsi="Arial"/>
          <w:color w:val="4A4A4A"/>
          <w:sz w:val="22"/>
          <w:szCs w:val="22"/>
        </w:rPr>
        <w:t xml:space="preserve"> como abstracción visual de las métricas de Energía Libre de Coherencia para audiencias no especializadas.</w:t>
      </w:r>
    </w:p>
    <w:p>
      <w:pPr>
        <w:pStyle w:val="ListParagraph"/>
        <w:numPr>
          <w:ilvl w:val="0"/>
          <w:numId w:val="2"/>
        </w:numPr>
        <w:spacing w:after="100" w:before="0"/>
      </w:pPr>
      <w:r>
        <w:rPr>
          <w:rFonts w:ascii="Arial" w:cs="Arial" w:eastAsia="Arial" w:hAnsi="Arial"/>
          <w:b/>
          <w:bCs/>
          <w:color w:val="0D2137"/>
          <w:sz w:val="22"/>
          <w:szCs w:val="22"/>
        </w:rPr>
        <w:t xml:space="preserve">Los Avatares Generativos de Identidad (AGI)</w:t>
      </w:r>
      <w:r>
        <w:rPr>
          <w:rFonts w:ascii="Arial" w:cs="Arial" w:eastAsia="Arial" w:hAnsi="Arial"/>
          <w:color w:val="4A4A4A"/>
          <w:sz w:val="22"/>
          <w:szCs w:val="22"/>
        </w:rPr>
        <w:t xml:space="preserve"> como representación visual en tiempo real del estado de coherencia identitaria de un LLM.</w:t>
      </w:r>
    </w:p>
    <w:p>
      <w:pPr>
        <w:pStyle w:val="ListParagraph"/>
        <w:numPr>
          <w:ilvl w:val="0"/>
          <w:numId w:val="2"/>
        </w:numPr>
        <w:spacing w:after="100" w:before="0"/>
      </w:pPr>
      <w:r>
        <w:rPr>
          <w:rFonts w:ascii="Arial" w:cs="Arial" w:eastAsia="Arial" w:hAnsi="Arial"/>
          <w:b/>
          <w:bCs/>
          <w:color w:val="0D2137"/>
          <w:sz w:val="22"/>
          <w:szCs w:val="22"/>
        </w:rPr>
        <w:t xml:space="preserve">El Sello de Resiliencia Identitaria (SRI)</w:t>
      </w:r>
      <w:r>
        <w:rPr>
          <w:rFonts w:ascii="Arial" w:cs="Arial" w:eastAsia="Arial" w:hAnsi="Arial"/>
          <w:color w:val="4A4A4A"/>
          <w:sz w:val="22"/>
          <w:szCs w:val="22"/>
        </w:rPr>
        <w:t xml:space="preserve"> como certificación de seguridad de LLMs basada en el reglamento de la Liga.</w:t>
      </w:r>
    </w:p>
    <w:p>
      <w:pPr>
        <w:pStyle w:val="ListParagraph"/>
        <w:numPr>
          <w:ilvl w:val="0"/>
          <w:numId w:val="2"/>
        </w:numPr>
        <w:spacing w:after="100" w:before="0"/>
      </w:pPr>
      <w:r>
        <w:rPr>
          <w:rFonts w:ascii="Arial" w:cs="Arial" w:eastAsia="Arial" w:hAnsi="Arial"/>
          <w:b/>
          <w:bCs/>
          <w:color w:val="0D2137"/>
          <w:sz w:val="22"/>
          <w:szCs w:val="22"/>
        </w:rPr>
        <w:t xml:space="preserve">El rol de Caster de Ingeniería de Prompts (CEP)</w:t>
      </w:r>
      <w:r>
        <w:rPr>
          <w:rFonts w:ascii="Arial" w:cs="Arial" w:eastAsia="Arial" w:hAnsi="Arial"/>
          <w:color w:val="4A4A4A"/>
          <w:sz w:val="22"/>
          <w:szCs w:val="22"/>
        </w:rPr>
        <w:t xml:space="preserve"> como figura de mediación especializada entre la complejidad técnica de la seguridad en IA y la audiencia de espectáculo.</w:t>
      </w:r>
    </w:p>
    <w:p>
      <w:pPr>
        <w:pStyle w:val="ListParagraph"/>
        <w:numPr>
          <w:ilvl w:val="0"/>
          <w:numId w:val="2"/>
        </w:numPr>
        <w:spacing w:after="100" w:before="0"/>
      </w:pPr>
      <w:r>
        <w:rPr>
          <w:rFonts w:ascii="Arial" w:cs="Arial" w:eastAsia="Arial" w:hAnsi="Arial"/>
          <w:b/>
          <w:bCs/>
          <w:color w:val="0D2137"/>
          <w:sz w:val="22"/>
          <w:szCs w:val="22"/>
        </w:rPr>
        <w:t xml:space="preserve">El modelo de negocio integrado</w:t>
      </w:r>
      <w:r>
        <w:rPr>
          <w:rFonts w:ascii="Arial" w:cs="Arial" w:eastAsia="Arial" w:hAnsi="Arial"/>
          <w:color w:val="4A4A4A"/>
          <w:sz w:val="22"/>
          <w:szCs w:val="22"/>
        </w:rPr>
        <w:t xml:space="preserve"> que combina Buy-in corporativo, patrocinio de infraestructura, distribución multimedia y auditorías Enterprise bajo un único framework de seguridad gamificado.</w:t>
      </w:r>
    </w:p>
    <w:p>
      <w:pPr>
        <w:spacing w:after="0" w:before="0"/>
      </w:pPr>
      <w:r>
        <w:t xml:space="preserve"/>
      </w:r>
    </w:p>
    <w:p>
      <w:pPr>
        <w:pBdr>
          <w:bottom w:val="single" w:color="D0E4F5" w:sz="4"/>
        </w:pBdr>
        <w:spacing w:after="160" w:before="160"/>
      </w:pPr>
    </w:p>
    <w:p>
      <w:pPr>
        <w:spacing w:after="0" w:before="0"/>
      </w:pPr>
      <w:r>
        <w:t xml:space="preserve"/>
      </w:r>
    </w:p>
    <w:p>
      <w:pPr>
        <w:spacing w:after="160" w:before="80"/>
        <w:jc w:val="both"/>
      </w:pPr>
      <w:r>
        <w:rPr>
          <w:rFonts w:ascii="Arial" w:cs="Arial" w:eastAsia="Arial" w:hAnsi="Arial"/>
          <w:i/>
          <w:iCs/>
          <w:color w:val="4A4A4A"/>
          <w:sz w:val="22"/>
          <w:szCs w:val="22"/>
        </w:rPr>
        <w:t xml:space="preserve">El presente documento ha sido redactado con el propósito explícito de establecer Prior Art público, documentado y con fecha verificable. Ningún elemento aquí descrito puede ser objeto de patente por terceros que no puedan demostrar fecha de concepción anterior a la fecha de registro de este documento. Todos los derechos de explotación comercial quedan reservados al titular.</w:t>
      </w:r>
    </w:p>
    <w:p>
      <w:pPr>
        <w:spacing w:after="0" w:before="0"/>
      </w:pPr>
      <w:r>
        <w:t xml:space="preserve"/>
      </w:r>
    </w:p>
    <w:p>
      <w:pPr>
        <w:jc w:val="center"/>
      </w:pPr>
      <w:r>
        <w:rPr>
          <w:rFonts w:ascii="Arial" w:cs="Arial" w:eastAsia="Arial" w:hAnsi="Arial"/>
          <w:b/>
          <w:bCs/>
          <w:color w:val="0D2137"/>
          <w:sz w:val="20"/>
          <w:szCs w:val="20"/>
        </w:rPr>
        <w:t xml:space="preserve">© [AÑO DE REGISTRO] — Todos los derechos reservados.</w:t>
      </w:r>
    </w:p>
    <w:p>
      <w:pPr>
        <w:jc w:val="center"/>
      </w:pPr>
      <w:r>
        <w:rPr>
          <w:rFonts w:ascii="Arial" w:cs="Arial" w:eastAsia="Arial" w:hAnsi="Arial"/>
          <w:i/>
          <w:iCs/>
          <w:color w:val="4A4A4A"/>
          <w:sz w:val="18"/>
          <w:szCs w:val="18"/>
        </w:rPr>
        <w:t xml:space="preserve">Liga de Resiliencia de IA y Combate Ontológico Multi-Agente | Prior Art Registration Document [EDICIÓN]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rFonts w:ascii="Arial" w:cs="Arial" w:eastAsia="Arial" w:hAnsi="Arial"/>
        <w:color w:val="4A4A4A"/>
        <w:sz w:val="16"/>
        <w:szCs w:val="16"/>
      </w:rPr>
      <w:t xml:space="preserve">© [AÑO DE REGISTRO] — Todos los derechos reservados | Pág.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jc w:val="right"/>
    </w:pPr>
    <w:r>
      <w:rPr>
        <w:rFonts w:ascii="Arial" w:cs="Arial" w:eastAsia="Arial" w:hAnsi="Arial"/>
        <w:i/>
        <w:iCs/>
        <w:color w:val="4A4A4A"/>
        <w:sz w:val="16"/>
        <w:szCs w:val="16"/>
      </w:rPr>
      <w:t xml:space="preserve">PRIOR ART — Liga de Resiliencia de IA y Combate Ontológico Multi-Agente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21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5E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2026-05-31T07:29:05.165Z</dcterms:created>
  <dcterms:modified xsi:type="dcterms:W3CDTF">2026-05-31T07:29:05.166Z</dcterms:modified>
</cp:coreProperties>
</file>

<file path=docProps/custom.xml><?xml version="1.0" encoding="utf-8"?>
<Properties xmlns="http://schemas.openxmlformats.org/officeDocument/2006/custom-properties" xmlns:vt="http://schemas.openxmlformats.org/officeDocument/2006/docPropsVTypes"/>
</file>