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753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BIT V1-0 SINFON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753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</w:p>
    <w:p>
      <w:pPr>
        <w:spacing w:before="360" w:after="160"/>
        <w:jc w:val="center"/>
      </w:pPr>
      <w:r>
        <w:rPr>
          <w:rFonts w:ascii="Calibri" w:hAnsi="Calibri"/>
          <w:b/>
          <w:i w:val="0"/>
          <w:color w:val="191D22"/>
          <w:sz w:val="54"/>
        </w:rPr>
        <w:t>Manual Oficial de Operaciones</w:t>
      </w:r>
    </w:p>
    <w:p>
      <w:pPr>
        <w:spacing w:after="320"/>
        <w:jc w:val="center"/>
      </w:pPr>
      <w:r>
        <w:rPr>
          <w:rFonts w:ascii="Calibri" w:hAnsi="Calibri"/>
          <w:b w:val="0"/>
          <w:i w:val="0"/>
          <w:color w:val="5D6570"/>
          <w:sz w:val="26"/>
        </w:rPr>
        <w:t>ORBIT v1.0 · Founders Edition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FF7E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F08E2D"/>
                <w:sz w:val="21"/>
              </w:rPr>
              <w:t>Documento controlado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9"/>
              </w:rPr>
              <w:t>Basado en la implementación de producción de ORBIT. Las capturas corresponden a la aplicación real y utilizan exclusivamente el registro permanente de certificación cuando se requiere ilustrar datos.</w:t>
            </w:r>
          </w:p>
        </w:tc>
      </w:tr>
    </w:tbl>
    <w:p>
      <w:pPr>
        <w:spacing w:after="0"/>
      </w:pPr>
    </w:p>
    <w:p>
      <w:pPr>
        <w:spacing w:after="720"/>
      </w:pPr>
    </w:p>
    <w:p>
      <w:pPr>
        <w:jc w:val="center"/>
      </w:pPr>
      <w:r>
        <w:rPr>
          <w:rFonts w:ascii="Calibri" w:hAnsi="Calibri"/>
          <w:b/>
          <w:i w:val="0"/>
          <w:color w:val="5D6570"/>
          <w:sz w:val="20"/>
        </w:rPr>
        <w:t xml:space="preserve">Versión: </w:t>
      </w:r>
      <w:r>
        <w:rPr>
          <w:rFonts w:ascii="Calibri" w:hAnsi="Calibri"/>
          <w:b w:val="0"/>
          <w:i w:val="0"/>
          <w:color w:val="191D22"/>
          <w:sz w:val="20"/>
        </w:rPr>
        <w:t>1.0</w:t>
      </w:r>
    </w:p>
    <w:p>
      <w:pPr>
        <w:jc w:val="center"/>
      </w:pPr>
      <w:r>
        <w:rPr>
          <w:rFonts w:ascii="Calibri" w:hAnsi="Calibri"/>
          <w:b/>
          <w:i w:val="0"/>
          <w:color w:val="5D6570"/>
          <w:sz w:val="20"/>
        </w:rPr>
        <w:t xml:space="preserve">Fecha de emisión: </w:t>
      </w:r>
      <w:r>
        <w:rPr>
          <w:rFonts w:ascii="Calibri" w:hAnsi="Calibri"/>
          <w:b w:val="0"/>
          <w:i w:val="0"/>
          <w:color w:val="191D22"/>
          <w:sz w:val="20"/>
        </w:rPr>
        <w:t>6 de agosto de 2026</w:t>
      </w:r>
    </w:p>
    <w:p>
      <w:pPr>
        <w:jc w:val="center"/>
      </w:pPr>
      <w:r>
        <w:rPr>
          <w:rFonts w:ascii="Calibri" w:hAnsi="Calibri"/>
          <w:b/>
          <w:i w:val="0"/>
          <w:color w:val="5D6570"/>
          <w:sz w:val="20"/>
        </w:rPr>
        <w:t xml:space="preserve">Propietario: </w:t>
      </w:r>
      <w:r>
        <w:rPr>
          <w:rFonts w:ascii="Calibri" w:hAnsi="Calibri"/>
          <w:b w:val="0"/>
          <w:i w:val="0"/>
          <w:color w:val="191D22"/>
          <w:sz w:val="20"/>
        </w:rPr>
        <w:t>BOOMBOX</w:t>
      </w:r>
    </w:p>
    <w:p>
      <w:pPr>
        <w:jc w:val="center"/>
      </w:pPr>
      <w:r>
        <w:rPr>
          <w:rFonts w:ascii="Calibri" w:hAnsi="Calibri"/>
          <w:b/>
          <w:i w:val="0"/>
          <w:color w:val="5D6570"/>
          <w:sz w:val="20"/>
        </w:rPr>
        <w:t xml:space="preserve">Plataforma: </w:t>
      </w:r>
      <w:r>
        <w:rPr>
          <w:rFonts w:ascii="Calibri" w:hAnsi="Calibri"/>
          <w:b w:val="0"/>
          <w:i w:val="0"/>
          <w:color w:val="191D22"/>
          <w:sz w:val="20"/>
        </w:rPr>
        <w:t>ORBIT · Powered by NOVA CORE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F08E2D"/>
          <w:sz w:val="17"/>
        </w:rPr>
        <w:t>CONTROL DOCUMENTAL</w:t>
      </w:r>
    </w:p>
    <w:p>
      <w:pPr>
        <w:pStyle w:val="Heading1"/>
      </w:pPr>
      <w:r>
        <w:t>Cómo usar este manual</w:t>
      </w:r>
    </w:p>
    <w:p>
      <w:r>
        <w:t>Este manual reúne los procedimientos diarios de BOOMBOX en ORBIT. Cada capítulo indica quién opera el flujo, qué debe validar y cuál es el resultado esperado. Los nombres de botones y estados se presentan tal como aparecen en producción.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Rol</w:t>
            </w:r>
          </w:p>
        </w:tc>
        <w:tc>
          <w:tcPr>
            <w:tcW w:type="dxa" w:w="74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Responsabilidad principal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Administrador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Configuración, datos maestros, accesos, conexiones y auditoría.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Ventas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Relación con clientes, proyectos, cotizaciones y acuerdos.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Operaciones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Preparación, asignaciones, readiness, calendario y ejecución.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Operador / Staff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Disponibilidad, aceptación y cumplimiento de hitos asignados.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Cliente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Consulta, firma, documentos, pagos, diseño y mensajes desde enlaces seguros.</w:t>
            </w:r>
          </w:p>
        </w:tc>
      </w:tr>
    </w:tbl>
    <w:p>
      <w:pPr>
        <w:spacing w:after="0"/>
      </w:pPr>
    </w:p>
    <w:p>
      <w:pPr>
        <w:pStyle w:val="Heading2"/>
      </w:pPr>
      <w:r>
        <w:t>Índice</w:t>
      </w:r>
    </w:p>
    <w:p>
      <w:pPr>
        <w:pStyle w:val="ListBullet"/>
        <w:spacing w:after="80" w:line="288" w:lineRule="auto"/>
        <w:ind w:left="540" w:hanging="271"/>
      </w:pPr>
      <w:r>
        <w:t>1. Manual del Administrador</w:t>
      </w:r>
    </w:p>
    <w:p>
      <w:pPr>
        <w:pStyle w:val="ListBullet"/>
        <w:spacing w:after="80" w:line="288" w:lineRule="auto"/>
        <w:ind w:left="540" w:hanging="271"/>
      </w:pPr>
      <w:r>
        <w:t>2. Manual de Ventas</w:t>
      </w:r>
    </w:p>
    <w:p>
      <w:pPr>
        <w:pStyle w:val="ListBullet"/>
        <w:spacing w:after="80" w:line="288" w:lineRule="auto"/>
        <w:ind w:left="540" w:hanging="271"/>
      </w:pPr>
      <w:r>
        <w:t>3. Manual de Operaciones</w:t>
      </w:r>
    </w:p>
    <w:p>
      <w:pPr>
        <w:pStyle w:val="ListBullet"/>
        <w:spacing w:after="80" w:line="288" w:lineRule="auto"/>
        <w:ind w:left="540" w:hanging="271"/>
      </w:pPr>
      <w:r>
        <w:t>4. Manual del Operador</w:t>
      </w:r>
    </w:p>
    <w:p>
      <w:pPr>
        <w:pStyle w:val="ListBullet"/>
        <w:spacing w:after="80" w:line="288" w:lineRule="auto"/>
        <w:ind w:left="540" w:hanging="271"/>
      </w:pPr>
      <w:r>
        <w:t>5. Manual del Portal del Cliente</w:t>
      </w:r>
    </w:p>
    <w:p>
      <w:pPr>
        <w:pStyle w:val="ListBullet"/>
        <w:spacing w:after="80" w:line="288" w:lineRule="auto"/>
        <w:ind w:left="540" w:hanging="271"/>
      </w:pPr>
      <w:r>
        <w:t>6. Guía de Google Workspace</w:t>
      </w:r>
    </w:p>
    <w:p>
      <w:pPr>
        <w:pStyle w:val="ListBullet"/>
        <w:spacing w:after="80" w:line="288" w:lineRule="auto"/>
        <w:ind w:left="540" w:hanging="271"/>
      </w:pPr>
      <w:r>
        <w:t>7. Guía de Firma Digital</w:t>
      </w:r>
    </w:p>
    <w:p>
      <w:pPr>
        <w:pStyle w:val="ListBullet"/>
        <w:spacing w:after="80" w:line="288" w:lineRule="auto"/>
        <w:ind w:left="540" w:hanging="271"/>
      </w:pPr>
      <w:r>
        <w:t>8. Guía de Cotizaciones</w:t>
      </w:r>
    </w:p>
    <w:p>
      <w:pPr>
        <w:pStyle w:val="ListBullet"/>
        <w:spacing w:after="80" w:line="288" w:lineRule="auto"/>
        <w:ind w:left="540" w:hanging="271"/>
      </w:pPr>
      <w:r>
        <w:t>9. Guía de Payroll</w:t>
      </w:r>
    </w:p>
    <w:p>
      <w:pPr>
        <w:pStyle w:val="ListBullet"/>
        <w:spacing w:after="80" w:line="288" w:lineRule="auto"/>
        <w:ind w:left="540" w:hanging="271"/>
      </w:pPr>
      <w:r>
        <w:t>10. Guía de Asignación de Equipamiento</w:t>
      </w:r>
    </w:p>
    <w:p>
      <w:pPr>
        <w:pStyle w:val="ListBullet"/>
        <w:spacing w:after="80" w:line="288" w:lineRule="auto"/>
        <w:ind w:left="540" w:hanging="271"/>
      </w:pPr>
      <w:r>
        <w:t>11. Guía de Experiencia del Cliente</w:t>
      </w:r>
    </w:p>
    <w:p>
      <w:pPr>
        <w:pStyle w:val="ListBullet"/>
        <w:spacing w:after="80" w:line="288" w:lineRule="auto"/>
        <w:ind w:left="540" w:hanging="271"/>
      </w:pPr>
      <w:r>
        <w:t>12. Seguridad, auditoría y resolución de incidencias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4F6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Principio operativo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9"/>
              </w:rPr>
              <w:t>ORBIT es la fuente de verdad. Google Calendar, Drive y Gmail son proyecciones controladas; el Portal y la firma se acceden mediante tokens seguros; las decisiones operativas siguen perteneciendo a BOOMBOX.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F08E2D"/>
          <w:sz w:val="17"/>
        </w:rPr>
        <w:t>GUÍA 01 · ADMINISTRADOR</w:t>
      </w:r>
    </w:p>
    <w:p>
      <w:pPr>
        <w:pStyle w:val="Heading1"/>
      </w:pPr>
      <w:r>
        <w:t>Manual del Administrador</w:t>
      </w:r>
    </w:p>
    <w:p>
      <w:pPr>
        <w:spacing w:after="200"/>
      </w:pPr>
      <w:r>
        <w:t>Administrar la plataforma, sus parámetros y conexiones sin alterar las reglas de negocio.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4F6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Resultado esperado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9"/>
              </w:rPr>
              <w:t>Al terminar esta guía, administrador podrá ejecutar el flujo sin recurrir a información simulada ni exponer datos internos.</w:t>
            </w:r>
          </w:p>
        </w:tc>
      </w:tr>
    </w:tbl>
    <w:p>
      <w:pPr>
        <w:spacing w:after="0"/>
      </w:pPr>
    </w:p>
    <w:p>
      <w:pPr>
        <w:pStyle w:val="Heading2"/>
      </w:pPr>
      <w:r>
        <w:t>Inicio de jornada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1. </w:t>
      </w:r>
      <w:r>
        <w:t>Inicia sesión con tu cuenta autorizada y confirma que el Dashboard carga sin mensajes de sesión expirada.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2. </w:t>
      </w:r>
      <w:r>
        <w:t>Revisa el Centro de Comando para detectar decisiones críticas, eventos próximos y bloqueos operativos.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3. </w:t>
      </w:r>
      <w:r>
        <w:t>Abre Configuración y verifica el Centro de Datos Maestros antes de modificar precios, servicios, transporte, Staff o equipamiento.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4. </w:t>
      </w:r>
      <w:r>
        <w:t>Comprueba la salud de Google Workspace y la vigencia de la conexión.</w:t>
      </w:r>
    </w:p>
    <w:p>
      <w:pPr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mmand-cen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D6570"/>
          <w:sz w:val="17"/>
        </w:rPr>
        <w:t>Dashboard ejecutivo de producción: prioridad única, próximo evento y resumen operacional.</w:t>
      </w:r>
    </w:p>
    <w:p>
      <w:pPr>
        <w:pStyle w:val="Heading2"/>
      </w:pPr>
      <w:r>
        <w:t>Datos maestros y cambios auditables</w:t>
      </w:r>
    </w:p>
    <w:p>
      <w:pPr>
        <w:pStyle w:val="ListBullet"/>
        <w:spacing w:after="80" w:line="288" w:lineRule="auto"/>
        <w:ind w:left="540" w:hanging="271"/>
      </w:pPr>
      <w:r>
        <w:t>Usa una sola fuente para servicios, precios oficiales, tipos de evento, extras, transporte, Staff, equipamiento, payroll, empresa, plantillas y sistema.</w:t>
      </w:r>
    </w:p>
    <w:p>
      <w:pPr>
        <w:pStyle w:val="ListBullet"/>
        <w:spacing w:after="80" w:line="288" w:lineRule="auto"/>
        <w:ind w:left="540" w:hanging="271"/>
      </w:pPr>
      <w:r>
        <w:t>Antes de guardar, registra una razón de cambio clara. La razón es obligatoria para auditoría.</w:t>
      </w:r>
    </w:p>
    <w:p>
      <w:pPr>
        <w:pStyle w:val="ListBullet"/>
        <w:spacing w:after="80" w:line="288" w:lineRule="auto"/>
        <w:ind w:left="540" w:hanging="271"/>
      </w:pPr>
      <w:r>
        <w:t>No edites valores directamente en la base de datos durante la operación normal.</w:t>
      </w:r>
    </w:p>
    <w:p>
      <w:pPr>
        <w:pStyle w:val="ListBullet"/>
        <w:spacing w:after="80" w:line="288" w:lineRule="auto"/>
        <w:ind w:left="540" w:hanging="271"/>
      </w:pPr>
      <w:r>
        <w:t>Tras guardar, recarga la vista y confirma que el valor persiste y que la modificación aparece en el historial correspondiente.</w:t>
      </w:r>
    </w:p>
    <w:p>
      <w:pPr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ett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D6570"/>
          <w:sz w:val="17"/>
        </w:rPr>
        <w:t>Centro de Datos Maestros: edición controlada y trazable de parámetros operativos.</w:t>
      </w:r>
    </w:p>
    <w:p>
      <w:pPr>
        <w:pStyle w:val="Heading2"/>
      </w:pPr>
      <w:r>
        <w:t>Cierre administrativo</w:t>
      </w:r>
    </w:p>
    <w:p>
      <w:pPr>
        <w:pStyle w:val="ListBullet"/>
        <w:spacing w:after="80" w:line="288" w:lineRule="auto"/>
        <w:ind w:left="540" w:hanging="271"/>
      </w:pPr>
      <w:r>
        <w:t>Revisar alertas y sincronizaciones fallidas.</w:t>
      </w:r>
    </w:p>
    <w:p>
      <w:pPr>
        <w:pStyle w:val="ListBullet"/>
        <w:spacing w:after="80" w:line="288" w:lineRule="auto"/>
        <w:ind w:left="540" w:hanging="271"/>
      </w:pPr>
      <w:r>
        <w:t>Confirmar que no queden cambios sin razón de auditoría.</w:t>
      </w:r>
    </w:p>
    <w:p>
      <w:pPr>
        <w:pStyle w:val="ListBullet"/>
        <w:spacing w:after="80" w:line="288" w:lineRule="auto"/>
        <w:ind w:left="540" w:hanging="271"/>
      </w:pPr>
      <w:r>
        <w:t>Cerrar sesión desde el control de usuario; nunca compartir la sesión.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F08E2D"/>
          <w:sz w:val="17"/>
        </w:rPr>
        <w:t>GUÍA 02 · VENTAS</w:t>
      </w:r>
    </w:p>
    <w:p>
      <w:pPr>
        <w:pStyle w:val="Heading1"/>
      </w:pPr>
      <w:r>
        <w:t>Manual de Ventas</w:t>
      </w:r>
    </w:p>
    <w:p>
      <w:pPr>
        <w:spacing w:after="200"/>
      </w:pPr>
      <w:r>
        <w:t>Convertir una relación comercial en un proyecto con cotización, acuerdo y próximos pasos claros.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4F6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Resultado esperado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9"/>
              </w:rPr>
              <w:t>Al terminar esta guía, ventas podrá ejecutar el flujo sin recurrir a información simulada ni exponer datos internos.</w:t>
            </w:r>
          </w:p>
        </w:tc>
      </w:tr>
    </w:tbl>
    <w:p>
      <w:pPr>
        <w:spacing w:after="0"/>
      </w:pPr>
    </w:p>
    <w:p>
      <w:pPr>
        <w:pStyle w:val="Heading2"/>
      </w:pPr>
      <w:r>
        <w:t>Flujo comercial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1. </w:t>
      </w:r>
      <w:r>
        <w:t>Busca al cliente por nombre, teléfono, proyecto, comuna o tipo de evento antes de crear un registro nuevo.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2. </w:t>
      </w:r>
      <w:r>
        <w:t>Si no existe, crea el cliente con información verificable. El cliente y el proyecto son entidades independientes.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3. </w:t>
      </w:r>
      <w:r>
        <w:t>Crea o abre el proyecto y completa fecha, hora, ubicación, servicio y contexto comercial.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4. </w:t>
      </w:r>
      <w:r>
        <w:t>Genera la cotización desde el proyecto usando precios oficiales, duración, extras y transporte configurados.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5. </w:t>
      </w:r>
      <w:r>
        <w:t>Revisa el total, guarda y comparte únicamente cuando la versión sea correcta.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6. </w:t>
      </w:r>
      <w:r>
        <w:t>Cuando la cotización sea aceptada, continúa con el acuerdo y su enlace seguro de firma.</w:t>
      </w:r>
    </w:p>
    <w:p>
      <w:pPr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D6570"/>
          <w:sz w:val="17"/>
        </w:rPr>
        <w:t>CRM Premium: las tarjetas priorizan la relación, la etapa, el próximo paso y la comunicación.</w:t>
      </w:r>
    </w:p>
    <w:p>
      <w:pPr>
        <w:pStyle w:val="Heading2"/>
      </w:pPr>
      <w:r>
        <w:t>Reglas de calidad comercial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Validación</w:t>
            </w:r>
          </w:p>
        </w:tc>
        <w:tc>
          <w:tcPr>
            <w:tcW w:type="dxa" w:w="74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Criterio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Duplicados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Buscar primero por RUT, teléfono y correo.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Precios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Usar exclusivamente datos maestros vigentes; toda negociación debe quedar registrada.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IVA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Confirmar tipo de cliente antes de emitir la cotización.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Vigencia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Verificar fecha de emisión y vencimiento.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Seguimiento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Registrar la comunicación y mantener una sola línea de tiempo.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F08E2D"/>
          <w:sz w:val="17"/>
        </w:rPr>
        <w:t>GUÍA 03 · OPERACIONES</w:t>
      </w:r>
    </w:p>
    <w:p>
      <w:pPr>
        <w:pStyle w:val="Heading1"/>
      </w:pPr>
      <w:r>
        <w:t>Manual de Operaciones</w:t>
      </w:r>
    </w:p>
    <w:p>
      <w:pPr>
        <w:spacing w:after="200"/>
      </w:pPr>
      <w:r>
        <w:t>Preparar cada evento, resolver faltantes y mantener una visión única de readiness.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4F6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Resultado esperado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9"/>
              </w:rPr>
              <w:t>Al terminar esta guía, operaciones podrá ejecutar el flujo sin recurrir a información simulada ni exponer datos internos.</w:t>
            </w:r>
          </w:p>
        </w:tc>
      </w:tr>
    </w:tbl>
    <w:p>
      <w:pPr>
        <w:spacing w:after="0"/>
      </w:pPr>
    </w:p>
    <w:p>
      <w:pPr>
        <w:pStyle w:val="Heading2"/>
      </w:pPr>
      <w:r>
        <w:t>Centro de Comando</w:t>
      </w:r>
    </w:p>
    <w:p>
      <w:r>
        <w:t>El Centro de Comando es la pantalla principal después del acceso. Prioriza decisiones; no reemplaza la revisión del proyecto.</w:t>
      </w:r>
    </w:p>
    <w:p>
      <w:pPr>
        <w:pStyle w:val="ListBullet"/>
        <w:spacing w:after="80" w:line="288" w:lineRule="auto"/>
        <w:ind w:left="540" w:hanging="271"/>
      </w:pPr>
      <w:r>
        <w:t>Revisa eventos de hoy, contratos y pagos pendientes, recursos disponibles y alertas.</w:t>
      </w:r>
    </w:p>
    <w:p>
      <w:pPr>
        <w:pStyle w:val="ListBullet"/>
        <w:spacing w:after="80" w:line="288" w:lineRule="auto"/>
        <w:ind w:left="540" w:hanging="271"/>
      </w:pPr>
      <w:r>
        <w:t>Abre el evento con mayor prioridad y valida su tarjeta de Event Readiness.</w:t>
      </w:r>
    </w:p>
    <w:p>
      <w:pPr>
        <w:pStyle w:val="ListBullet"/>
        <w:spacing w:after="80" w:line="288" w:lineRule="auto"/>
        <w:ind w:left="540" w:hanging="271"/>
      </w:pPr>
      <w:r>
        <w:t>Resuelve primero estados en rojo, luego estados en amarillo. Los estados informan; no bloquean la operación.</w:t>
      </w:r>
    </w:p>
    <w:p>
      <w:pPr>
        <w:pStyle w:val="ListBullet"/>
        <w:spacing w:after="80" w:line="288" w:lineRule="auto"/>
        <w:ind w:left="540" w:hanging="271"/>
      </w:pPr>
      <w:r>
        <w:t>Confirma que Calendario, Drive, asignaciones, payroll, profit y timeline reflejen el estado real.</w:t>
      </w:r>
    </w:p>
    <w:p>
      <w:pPr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411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pera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D6570"/>
          <w:sz w:val="17"/>
        </w:rPr>
        <w:t>Centro de Comando: indicadores operacionales alimentados por repositorios de producción.</w:t>
      </w:r>
    </w:p>
    <w:p>
      <w:pPr>
        <w:pStyle w:val="Heading2"/>
      </w:pPr>
      <w:r>
        <w:t>Event Readiness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Control</w:t>
            </w:r>
          </w:p>
        </w:tc>
        <w:tc>
          <w:tcPr>
            <w:tcW w:type="dxa" w:w="7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Qué verificar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Cliente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Cliente confirmado y asociado al proyecto.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Cotización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Cotización aprobada.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Acuerdo y firma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Acuerdo firmado e inmutable.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Pago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Pago confirmado cuando corresponda.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Calendar / Drive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IDs y estado de sincronización vigentes.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Staff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Operador asignado y disponible.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Totem / Case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Equipamiento sin doble reserva.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Payroll / Profit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Cálculos preparados con información vigente.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Timeline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Últimos hitos registrados y ordenados.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FF7E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F08E2D"/>
                <w:sz w:val="21"/>
              </w:rPr>
              <w:t>Decisión humana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9"/>
              </w:rPr>
              <w:t>ORBIT recomienda y valida disponibilidad, pero no asigna automáticamente operadores, vehículos o equipamiento.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F08E2D"/>
          <w:sz w:val="17"/>
        </w:rPr>
        <w:t>GUÍA 04 · OPERADOR</w:t>
      </w:r>
    </w:p>
    <w:p>
      <w:pPr>
        <w:pStyle w:val="Heading1"/>
      </w:pPr>
      <w:r>
        <w:t>Manual del Operador</w:t>
      </w:r>
    </w:p>
    <w:p>
      <w:pPr>
        <w:spacing w:after="200"/>
      </w:pPr>
      <w:r>
        <w:t>Consultar asignaciones, confirmar disponibilidad y ejecutar hitos operativos con trazabilidad.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4F6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Resultado esperado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9"/>
              </w:rPr>
              <w:t>Al terminar esta guía, operador podrá ejecutar el flujo sin recurrir a información simulada ni exponer datos internos.</w:t>
            </w:r>
          </w:p>
        </w:tc>
      </w:tr>
    </w:tbl>
    <w:p>
      <w:pPr>
        <w:spacing w:after="0"/>
      </w:pPr>
    </w:p>
    <w:p>
      <w:pPr>
        <w:pStyle w:val="Heading2"/>
      </w:pPr>
      <w:r>
        <w:t>Antes del evento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1. </w:t>
      </w:r>
      <w:r>
        <w:t>Abre Staff y localiza tu perfil mediante búsqueda.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2. </w:t>
      </w:r>
      <w:r>
        <w:t>Verifica el evento, la hora de llamado, vehículo, Totem, Case y salida desde Chicureo.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3. </w:t>
      </w:r>
      <w:r>
        <w:t>Acepta, rechaza o solicita asistencia según tu disponibilidad real. La aceptación no confirma por sí sola la asignación.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4. </w:t>
      </w:r>
      <w:r>
        <w:t>No intercambies asignaciones por fuera de ORBIT; solicita el cambio a Operaciones.</w:t>
      </w:r>
    </w:p>
    <w:p>
      <w:pPr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411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taf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D6570"/>
          <w:sz w:val="17"/>
        </w:rPr>
        <w:t>Staff en producción: disponibilidad, contexto operativo, asignaciones e historial.</w:t>
      </w:r>
    </w:p>
    <w:p>
      <w:pPr>
        <w:pStyle w:val="Heading2"/>
      </w:pPr>
      <w:r>
        <w:t>Hitos de campo</w:t>
      </w:r>
    </w:p>
    <w:p>
      <w:pPr>
        <w:pStyle w:val="ListBullet"/>
        <w:spacing w:after="80" w:line="288" w:lineRule="auto"/>
        <w:ind w:left="540" w:hanging="271"/>
      </w:pPr>
      <w:r>
        <w:t>Llegada</w:t>
      </w:r>
    </w:p>
    <w:p>
      <w:pPr>
        <w:pStyle w:val="ListBullet"/>
        <w:spacing w:after="80" w:line="288" w:lineRule="auto"/>
        <w:ind w:left="540" w:hanging="271"/>
      </w:pPr>
      <w:r>
        <w:t>Inicio y término de montaje</w:t>
      </w:r>
    </w:p>
    <w:p>
      <w:pPr>
        <w:pStyle w:val="ListBullet"/>
        <w:spacing w:after="80" w:line="288" w:lineRule="auto"/>
        <w:ind w:left="540" w:hanging="271"/>
      </w:pPr>
      <w:r>
        <w:t>Inicio y término del evento</w:t>
      </w:r>
    </w:p>
    <w:p>
      <w:pPr>
        <w:pStyle w:val="ListBullet"/>
        <w:spacing w:after="80" w:line="288" w:lineRule="auto"/>
        <w:ind w:left="540" w:hanging="271"/>
      </w:pPr>
      <w:r>
        <w:t>Inicio y término de desmontaje</w:t>
      </w:r>
    </w:p>
    <w:p>
      <w:pPr>
        <w:pStyle w:val="ListBullet"/>
        <w:spacing w:after="80" w:line="288" w:lineRule="auto"/>
        <w:ind w:left="540" w:hanging="271"/>
      </w:pPr>
      <w:r>
        <w:t>Retorno a bodega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4F6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Capacidades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9"/>
              </w:rPr>
              <w:t>CALYPSO puede participar en montaje, operación y desmontaje. GREEN opera únicamente cuando la capacidad Operador está habilitada. El estado no disponible excluye al integrante de los selectores.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F08E2D"/>
          <w:sz w:val="17"/>
        </w:rPr>
        <w:t>GUÍA 05 · CLIENTE</w:t>
      </w:r>
    </w:p>
    <w:p>
      <w:pPr>
        <w:pStyle w:val="Heading1"/>
      </w:pPr>
      <w:r>
        <w:t>Manual del Portal del Cliente</w:t>
      </w:r>
    </w:p>
    <w:p>
      <w:pPr>
        <w:spacing w:after="200"/>
      </w:pPr>
      <w:r>
        <w:t>Consultar toda la experiencia del evento desde un enlace seguro, sin cuenta ni contraseña.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4F6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Resultado esperado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9"/>
              </w:rPr>
              <w:t>Al terminar esta guía, cliente podrá ejecutar el flujo sin recurrir a información simulada ni exponer datos internos.</w:t>
            </w:r>
          </w:p>
        </w:tc>
      </w:tr>
    </w:tbl>
    <w:p>
      <w:pPr>
        <w:spacing w:after="0"/>
      </w:pPr>
    </w:p>
    <w:p>
      <w:pPr>
        <w:pStyle w:val="Heading2"/>
      </w:pPr>
      <w:r>
        <w:t>Acceso seguro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1. </w:t>
      </w:r>
      <w:r>
        <w:t>Abre el enlace enviado por BOOMBOX. No compartas el enlace con terceros.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2. </w:t>
      </w:r>
      <w:r>
        <w:t>Revisa el nombre del evento, la fecha, la cuenta regresiva y el estado general.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3. </w:t>
      </w:r>
      <w:r>
        <w:t>Consulta servicios, extras, pagos, documentos, información del evento y mensajes.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4. </w:t>
      </w:r>
      <w:r>
        <w:t>Carga logos, imágenes o instrucciones desde el Centro de Diseño cuando BOOMBOX lo solicite.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5. </w:t>
      </w:r>
      <w:r>
        <w:t>Envía solicitudes de extras o mensajes; BOOMBOX revisará y aprobará manualmente.</w:t>
      </w:r>
    </w:p>
    <w:p>
      <w:pPr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4114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ustomer-port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D6570"/>
          <w:sz w:val="17"/>
        </w:rPr>
        <w:t>Portal real de certificación: estado, cuenta regresiva y avance del evento.</w:t>
      </w:r>
    </w:p>
    <w:p>
      <w:pPr>
        <w:pStyle w:val="Heading2"/>
      </w:pPr>
      <w:r>
        <w:t>Qué ve y qué no ve el cliente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7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Visible</w:t>
            </w:r>
          </w:p>
        </w:tc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Nunca visible</w:t>
            </w:r>
          </w:p>
        </w:tc>
      </w:tr>
      <w:tr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Servicios y extras contratados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Márgenes y costos internos</w:t>
            </w:r>
          </w:p>
        </w:tc>
      </w:tr>
      <w:tr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Pagos, documentos y estado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Payroll y pagos de operadores</w:t>
            </w:r>
          </w:p>
        </w:tc>
      </w:tr>
      <w:tr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Ubicación, contacto y agenda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Notas internas de operación</w:t>
            </w:r>
          </w:p>
        </w:tc>
      </w:tr>
      <w:tr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Mensajes y solicitudes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Tokens, credenciales o datos técnicos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F08E2D"/>
          <w:sz w:val="17"/>
        </w:rPr>
        <w:t>GUÍA 06 · ADMINISTRADOR</w:t>
      </w:r>
    </w:p>
    <w:p>
      <w:pPr>
        <w:pStyle w:val="Heading1"/>
      </w:pPr>
      <w:r>
        <w:t>Guía de Google Workspace</w:t>
      </w:r>
    </w:p>
    <w:p>
      <w:pPr>
        <w:spacing w:after="200"/>
      </w:pPr>
      <w:r>
        <w:t>Mantener una única conexión segura para Calendar, Drive y Gmail.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4F6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Resultado esperado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9"/>
              </w:rPr>
              <w:t>Al terminar esta guía, administrador podrá ejecutar el flujo sin recurrir a información simulada ni exponer datos internos.</w:t>
            </w:r>
          </w:p>
        </w:tc>
      </w:tr>
    </w:tbl>
    <w:p>
      <w:pPr>
        <w:spacing w:after="0"/>
      </w:pPr>
    </w:p>
    <w:p>
      <w:pPr>
        <w:pStyle w:val="Heading2"/>
      </w:pPr>
      <w:r>
        <w:t>Verificación de conexión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1. </w:t>
      </w:r>
      <w:r>
        <w:t>Ve a Configuración → Google Workspace.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2. </w:t>
      </w:r>
      <w:r>
        <w:t>Confirma estado Saludable, cuenta, dominio, servicios concedidos y vigencia del token.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3. </w:t>
      </w:r>
      <w:r>
        <w:t>Usa Verificar conexión si existe una duda operativa.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4. </w:t>
      </w:r>
      <w:r>
        <w:t>Usa Reconectar cuando la autorización haya expirado o cambien los permisos.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5. </w:t>
      </w:r>
      <w:r>
        <w:t>Usa Desconectar solo si BOOMBOX decide revocar la proyección de Google.</w:t>
      </w:r>
    </w:p>
    <w:p>
      <w:pPr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411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google-workspa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D6570"/>
          <w:sz w:val="17"/>
        </w:rPr>
        <w:t>Centro de Conexiones: una autorización de servidor para Calendar, Drive y Gmail.</w:t>
      </w:r>
    </w:p>
    <w:p>
      <w:pPr>
        <w:pStyle w:val="Heading2"/>
      </w:pPr>
      <w:r>
        <w:t>Reglas por servicio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Servicio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Uso en ORBIT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Regla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Calendar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Crear, actualizar, cancelar y restaurar eventos.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ORBIT manda; no aceptar cambios externos como verdad.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Drive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Crear estructura y almacenar documentos.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La ubicación la determina ORBIT; no elegir carpetas manualmente.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Gmail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Preparar borradores y comunicaciones.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No enviar automáticamente sin confirmación.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4F6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Seguridad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9"/>
              </w:rPr>
              <w:t>Los tokens permanecen en el servidor. Nunca copies secretos, tokens de acceso o refresh tokens en mensajes, documentos o capturas.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F08E2D"/>
          <w:sz w:val="17"/>
        </w:rPr>
        <w:t>GUÍA 07 · VENTAS</w:t>
      </w:r>
    </w:p>
    <w:p>
      <w:pPr>
        <w:pStyle w:val="Heading1"/>
      </w:pPr>
      <w:r>
        <w:t>Guía de Firma Digital</w:t>
      </w:r>
    </w:p>
    <w:p>
      <w:pPr>
        <w:spacing w:after="200"/>
      </w:pPr>
      <w:r>
        <w:t>Enviar un acuerdo seguro y acompañar al cliente hasta la firma y el documento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4F6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Resultado esperado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9"/>
              </w:rPr>
              <w:t>Al terminar esta guía, ventas podrá ejecutar el flujo sin recurrir a información simulada ni exponer datos internos.</w:t>
            </w:r>
          </w:p>
        </w:tc>
      </w:tr>
    </w:tbl>
    <w:p>
      <w:pPr>
        <w:spacing w:after="0"/>
      </w:pPr>
    </w:p>
    <w:p>
      <w:pPr>
        <w:pStyle w:val="Heading2"/>
      </w:pPr>
      <w:r>
        <w:t>Flujo de firma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1. </w:t>
      </w:r>
      <w:r>
        <w:t>Confirma que la cotización aceptada y el acuerdo correspondan al proyecto correcto.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2. </w:t>
      </w:r>
      <w:r>
        <w:t>Genera un enlace de firma único desde el proyecto.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3. </w:t>
      </w:r>
      <w:r>
        <w:t>Prepara el borrador de Gmail y revisa destinatario, asunto y enlace antes de enviar.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4. </w:t>
      </w:r>
      <w:r>
        <w:t>El cliente abre, lee, dibuja su firma y selecciona Confirmar firma.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5. </w:t>
      </w:r>
      <w:r>
        <w:t>ORBIT valida la firma, genera el PDF, lo carga en Drive, actualiza Timeline y bloquea el acuerdo.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6. </w:t>
      </w:r>
      <w:r>
        <w:t>Confirma que el acuerdo esté en modo solo lectura y que el cliente reciba su copia.</w:t>
      </w:r>
    </w:p>
    <w:p>
      <w:pPr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4114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ject-workspa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D6570"/>
          <w:sz w:val="17"/>
        </w:rPr>
        <w:t>Workspace del proyecto: cotización aceptada, portal activo y contexto único para continuar el acuerdo.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FF7E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F08E2D"/>
                <w:sz w:val="21"/>
              </w:rPr>
              <w:t>Legal y seguridad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9"/>
              </w:rPr>
              <w:t>El enlace es de un solo uso, expira y queda ligado a un solo acuerdo. Después de la firma no se edita, reemplaza ni vuelve a firmar.</w:t>
            </w:r>
          </w:p>
        </w:tc>
      </w:tr>
    </w:tbl>
    <w:p>
      <w:pPr>
        <w:spacing w:after="0"/>
      </w:pPr>
    </w:p>
    <w:p>
      <w:pPr>
        <w:pStyle w:val="Heading2"/>
      </w:pPr>
      <w:r>
        <w:t>Evidencia registrada</w:t>
      </w:r>
    </w:p>
    <w:p>
      <w:pPr>
        <w:pStyle w:val="ListBullet"/>
        <w:spacing w:after="80" w:line="288" w:lineRule="auto"/>
        <w:ind w:left="540" w:hanging="271"/>
      </w:pPr>
      <w:r>
        <w:t>Fecha y hora</w:t>
      </w:r>
    </w:p>
    <w:p>
      <w:pPr>
        <w:pStyle w:val="ListBullet"/>
        <w:spacing w:after="80" w:line="288" w:lineRule="auto"/>
        <w:ind w:left="540" w:hanging="271"/>
      </w:pPr>
      <w:r>
        <w:t>Versión del acuerdo</w:t>
      </w:r>
    </w:p>
    <w:p>
      <w:pPr>
        <w:pStyle w:val="ListBullet"/>
        <w:spacing w:after="80" w:line="288" w:lineRule="auto"/>
        <w:ind w:left="540" w:hanging="271"/>
      </w:pPr>
      <w:r>
        <w:t>Firma incorporada al PDF</w:t>
      </w:r>
    </w:p>
    <w:p>
      <w:pPr>
        <w:pStyle w:val="ListBullet"/>
        <w:spacing w:after="80" w:line="288" w:lineRule="auto"/>
        <w:ind w:left="540" w:hanging="271"/>
      </w:pPr>
      <w:r>
        <w:t>IP, navegador y dispositivo</w:t>
      </w:r>
    </w:p>
    <w:p>
      <w:pPr>
        <w:pStyle w:val="ListBullet"/>
        <w:spacing w:after="80" w:line="288" w:lineRule="auto"/>
        <w:ind w:left="540" w:hanging="271"/>
      </w:pPr>
      <w:r>
        <w:t>Eventos de Timeline y auditoría</w:t>
      </w:r>
    </w:p>
    <w:p>
      <w:pPr>
        <w:pStyle w:val="ListBullet"/>
        <w:spacing w:after="80" w:line="288" w:lineRule="auto"/>
        <w:ind w:left="540" w:hanging="271"/>
      </w:pPr>
      <w:r>
        <w:t>Referencia del documento en Google Drive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F08E2D"/>
          <w:sz w:val="17"/>
        </w:rPr>
        <w:t>GUÍA 08 · VENTAS</w:t>
      </w:r>
    </w:p>
    <w:p>
      <w:pPr>
        <w:pStyle w:val="Heading1"/>
      </w:pPr>
      <w:r>
        <w:t>Guía de Cotizaciones</w:t>
      </w:r>
    </w:p>
    <w:p>
      <w:pPr>
        <w:spacing w:after="200"/>
      </w:pPr>
      <w:r>
        <w:t>Crear una cotización profesional y persistente con precios oficiales y trazabilidad comercial.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4F6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Resultado esperado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9"/>
              </w:rPr>
              <w:t>Al terminar esta guía, ventas podrá ejecutar el flujo sin recurrir a información simulada ni exponer datos internos.</w:t>
            </w:r>
          </w:p>
        </w:tc>
      </w:tr>
    </w:tbl>
    <w:p>
      <w:pPr>
        <w:spacing w:after="0"/>
      </w:pPr>
    </w:p>
    <w:p>
      <w:pPr>
        <w:pStyle w:val="Heading2"/>
      </w:pPr>
      <w:r>
        <w:t>Preparación</w:t>
      </w:r>
    </w:p>
    <w:p>
      <w:pPr>
        <w:pStyle w:val="ListBullet"/>
        <w:spacing w:after="80" w:line="288" w:lineRule="auto"/>
        <w:ind w:left="540" w:hanging="271"/>
      </w:pPr>
      <w:r>
        <w:t>Confirma cliente, proyecto, tipo de evento, fecha, ubicación y cantidad de invitados.</w:t>
      </w:r>
    </w:p>
    <w:p>
      <w:pPr>
        <w:pStyle w:val="ListBullet"/>
        <w:spacing w:after="80" w:line="288" w:lineRule="auto"/>
        <w:ind w:left="540" w:hanging="271"/>
      </w:pPr>
      <w:r>
        <w:t>Selecciona servicio y duración disponibles en Datos Maestros.</w:t>
      </w:r>
    </w:p>
    <w:p>
      <w:pPr>
        <w:pStyle w:val="ListBullet"/>
        <w:spacing w:after="80" w:line="288" w:lineRule="auto"/>
        <w:ind w:left="540" w:hanging="271"/>
      </w:pPr>
      <w:r>
        <w:t>Agrega extras y transporte; revisa el tratamiento de IVA según el tipo de cliente.</w:t>
      </w:r>
    </w:p>
    <w:p>
      <w:pPr>
        <w:pStyle w:val="ListBullet"/>
        <w:spacing w:after="80" w:line="288" w:lineRule="auto"/>
        <w:ind w:left="540" w:hanging="271"/>
      </w:pPr>
      <w:r>
        <w:t>Si existe precio negociado, registra la justificación y aprobación exigidas por el flujo.</w:t>
      </w:r>
    </w:p>
    <w:p>
      <w:pPr>
        <w:pStyle w:val="Heading2"/>
      </w:pPr>
      <w:r>
        <w:t>Emisión y aprobación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1. </w:t>
      </w:r>
      <w:r>
        <w:t>Genera el número de cotización y revisa emisión, vencimiento y total.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2. </w:t>
      </w:r>
      <w:r>
        <w:t>Guarda la cotización y recarga para comprobar persistencia.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3. </w:t>
      </w:r>
      <w:r>
        <w:t>Comparte la versión correcta. Las actualizaciones deben mantener historial.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4. </w:t>
      </w:r>
      <w:r>
        <w:t>Al aprobar, genera el PDF final, carga en Drive y prepara el borrador real de Gmail.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5. </w:t>
      </w:r>
      <w:r>
        <w:t>Verifica los eventos Cotización creada/actualizada/enviada/aceptada en Timeline y auditoría.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Elemento</w:t>
            </w:r>
          </w:p>
        </w:tc>
        <w:tc>
          <w:tcPr>
            <w:tcW w:type="dxa" w:w="72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Control obligatorio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Servicio y horas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Coincidir con lo ofrecido al cliente.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Extras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Incluir solo lo solicitado y aprobado.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Transporte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Calcular según destino configurado.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Impuestos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Aplicar la regla del tipo de cliente.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Total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Revisar antes de compartir o aprobar.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F08E2D"/>
          <w:sz w:val="17"/>
        </w:rPr>
        <w:t>GUÍA 09 · OPERACIONES</w:t>
      </w:r>
    </w:p>
    <w:p>
      <w:pPr>
        <w:pStyle w:val="Heading1"/>
      </w:pPr>
      <w:r>
        <w:t>Guía de Payroll</w:t>
      </w:r>
    </w:p>
    <w:p>
      <w:pPr>
        <w:spacing w:after="200"/>
      </w:pPr>
      <w:r>
        <w:t>Preparar pagos operativos a partir de asignaciones confirmadas sin alterar el motor de cálculo.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4F6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Resultado esperado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9"/>
              </w:rPr>
              <w:t>Al terminar esta guía, operaciones podrá ejecutar el flujo sin recurrir a información simulada ni exponer datos internos.</w:t>
            </w:r>
          </w:p>
        </w:tc>
      </w:tr>
    </w:tbl>
    <w:p>
      <w:pPr>
        <w:spacing w:after="0"/>
      </w:pPr>
    </w:p>
    <w:p>
      <w:pPr>
        <w:pStyle w:val="Heading2"/>
      </w:pPr>
      <w:r>
        <w:t>Componentes</w:t>
      </w:r>
    </w:p>
    <w:p>
      <w:pPr>
        <w:pStyle w:val="ListBullet"/>
        <w:spacing w:after="80" w:line="288" w:lineRule="auto"/>
        <w:ind w:left="540" w:hanging="271"/>
      </w:pPr>
      <w:r>
        <w:t>Pago de montaje</w:t>
      </w:r>
    </w:p>
    <w:p>
      <w:pPr>
        <w:pStyle w:val="ListBullet"/>
        <w:spacing w:after="80" w:line="288" w:lineRule="auto"/>
        <w:ind w:left="540" w:hanging="271"/>
      </w:pPr>
      <w:r>
        <w:t>Pago de operación</w:t>
      </w:r>
    </w:p>
    <w:p>
      <w:pPr>
        <w:pStyle w:val="ListBullet"/>
        <w:spacing w:after="80" w:line="288" w:lineRule="auto"/>
        <w:ind w:left="540" w:hanging="271"/>
      </w:pPr>
      <w:r>
        <w:t>Pago de desmontaje</w:t>
      </w:r>
    </w:p>
    <w:p>
      <w:pPr>
        <w:pStyle w:val="ListBullet"/>
        <w:spacing w:after="80" w:line="288" w:lineRule="auto"/>
        <w:ind w:left="540" w:hanging="271"/>
      </w:pPr>
      <w:r>
        <w:t>Bono de transporte</w:t>
      </w:r>
    </w:p>
    <w:p>
      <w:pPr>
        <w:pStyle w:val="ListBullet"/>
        <w:spacing w:after="80" w:line="288" w:lineRule="auto"/>
        <w:ind w:left="540" w:hanging="271"/>
      </w:pPr>
      <w:r>
        <w:t>Excepción de estacionamiento</w:t>
      </w:r>
    </w:p>
    <w:p>
      <w:pPr>
        <w:pStyle w:val="Heading2"/>
      </w:pPr>
      <w:r>
        <w:t>Procedimiento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1. </w:t>
      </w:r>
      <w:r>
        <w:t>Confirma que cada asignación pertenece al proyecto y rol correctos.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2. </w:t>
      </w:r>
      <w:r>
        <w:t>Verifica capacidades: montaje y desmontaje requieren capacidad explícita; operación requiere Operador.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3. </w:t>
      </w:r>
      <w:r>
        <w:t>Revisa las tarifas vigentes en Datos Maestros → Payroll.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4. </w:t>
      </w:r>
      <w:r>
        <w:t>Genera o recalcula Payroll después de cualquier cambio de asignación.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5. </w:t>
      </w:r>
      <w:r>
        <w:t>Comprueba el total y la referencia del evento; registra toda excepción con razón.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6. </w:t>
      </w:r>
      <w:r>
        <w:t>Valida Timeline y auditoría antes del cierre operativo.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4F6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Control financiero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9"/>
              </w:rPr>
              <w:t>Payroll representa costo operacional y alimenta Profit. No debe duplicarse ni editarse fuera del flujo autorizado.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F08E2D"/>
          <w:sz w:val="17"/>
        </w:rPr>
        <w:t>GUÍA 10 · OPERACIONES</w:t>
      </w:r>
    </w:p>
    <w:p>
      <w:pPr>
        <w:pStyle w:val="Heading1"/>
      </w:pPr>
      <w:r>
        <w:t>Guía de Asignación de Equipamiento</w:t>
      </w:r>
    </w:p>
    <w:p>
      <w:pPr>
        <w:spacing w:after="200"/>
      </w:pPr>
      <w:r>
        <w:t>Asignar manualmente Totem y Case disponibles evitando doble reserva.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4F6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Resultado esperado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9"/>
              </w:rPr>
              <w:t>Al terminar esta guía, operaciones podrá ejecutar el flujo sin recurrir a información simulada ni exponer datos internos.</w:t>
            </w:r>
          </w:p>
        </w:tc>
      </w:tr>
    </w:tbl>
    <w:p>
      <w:pPr>
        <w:spacing w:after="0"/>
      </w:pPr>
    </w:p>
    <w:p>
      <w:pPr>
        <w:pStyle w:val="Heading2"/>
      </w:pPr>
      <w:r>
        <w:t>Asignación manual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1. </w:t>
      </w:r>
      <w:r>
        <w:t>Abre el proyecto y entra a la sección de asignación operacional.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2. </w:t>
      </w:r>
      <w:r>
        <w:t>Selecciona el Totem mediante búsqueda. Revisa estado, evento actual, fecha, hora y operador.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3. </w:t>
      </w:r>
      <w:r>
        <w:t>Selecciona el Case y repite la validación de disponibilidad.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4. </w:t>
      </w:r>
      <w:r>
        <w:t>Selecciona el operador permitido por capacidades y disponibilidad.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5. </w:t>
      </w:r>
      <w:r>
        <w:t>Guarda. ORBIT debe rechazar cualquier doble reserva.</w:t>
      </w:r>
    </w:p>
    <w:p>
      <w:pPr>
        <w:spacing w:after="100"/>
        <w:ind w:left="547" w:hanging="547"/>
      </w:pPr>
      <w:r>
        <w:rPr>
          <w:rFonts w:ascii="Calibri" w:hAnsi="Calibri"/>
          <w:b/>
          <w:i w:val="0"/>
          <w:color w:val="F08E2D"/>
          <w:sz w:val="22"/>
        </w:rPr>
        <w:t xml:space="preserve">6. </w:t>
      </w:r>
      <w:r>
        <w:t>Recarga y confirma persistencia, Timeline, auditoría e historial del activo.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Estado</w:t>
            </w:r>
          </w:p>
        </w:tc>
        <w:tc>
          <w:tcPr>
            <w:tcW w:type="dxa" w:w="72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Acción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Disponible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Puede asignarse si no existe conflicto horario.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Asignado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Revisar evento; no duplicar.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Mantenimiento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No asignar.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Fuera de servicio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No asignar y escalar a Operaciones.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4F6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Recomendación NOVA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9"/>
              </w:rPr>
              <w:t>Wedding y Corporate pueden sugerir WHITE; Birthday y Graduation pueden sugerir BLACK. La recomendación nunca sustituye la decisión del Operations Manager.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F08E2D"/>
          <w:sz w:val="17"/>
        </w:rPr>
        <w:t>GUÍA 11 · VENTAS Y OPERACIONES</w:t>
      </w:r>
    </w:p>
    <w:p>
      <w:pPr>
        <w:pStyle w:val="Heading1"/>
      </w:pPr>
      <w:r>
        <w:t>Guía de Experiencia del Cliente</w:t>
      </w:r>
    </w:p>
    <w:p>
      <w:pPr>
        <w:spacing w:after="200"/>
      </w:pPr>
      <w:r>
        <w:t>Mantener una experiencia coherente desde el primer contacto hasta la entrega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4F6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Resultado esperado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9"/>
              </w:rPr>
              <w:t>Al terminar esta guía, ventas y operaciones podrá ejecutar el flujo sin recurrir a información simulada ni exponer datos internos.</w:t>
            </w:r>
          </w:p>
        </w:tc>
      </w:tr>
    </w:tbl>
    <w:p>
      <w:pPr>
        <w:spacing w:after="0"/>
      </w:pPr>
    </w:p>
    <w:p>
      <w:pPr>
        <w:pStyle w:val="Heading2"/>
      </w:pPr>
      <w:r>
        <w:t>Trayectoria única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Etapa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Responsable</w:t>
            </w:r>
          </w:p>
        </w:tc>
        <w:tc>
          <w:tcPr>
            <w:tcW w:type="dxa" w:w="55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Resultado visible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Contacto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Ventas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Cliente y proyecto sin duplicados.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Cotización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Ventas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Oferta clara, vigente y trazable.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Acuerdo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Ventas / Cliente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Firma simple sin cuenta ni contraseña.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Pago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Ventas / Finanzas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Estado y comprobantes visibles.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Diseño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Cliente / Operaciones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Archivos e instrucciones centralizados.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Planificación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Operaciones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Recursos y readiness visibles.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Evento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Operaciones / Staff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Hitos en Timeline.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Entrega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BOOMBOX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Documentos y medios disponibles.</w:t>
            </w:r>
          </w:p>
        </w:tc>
      </w:tr>
    </w:tbl>
    <w:p>
      <w:pPr>
        <w:spacing w:after="0"/>
      </w:pPr>
    </w:p>
    <w:p>
      <w:pPr>
        <w:pStyle w:val="Heading2"/>
      </w:pPr>
      <w:r>
        <w:t>Principios de atención</w:t>
      </w:r>
    </w:p>
    <w:p>
      <w:pPr>
        <w:pStyle w:val="ListBullet"/>
        <w:spacing w:after="80" w:line="288" w:lineRule="auto"/>
        <w:ind w:left="540" w:hanging="271"/>
      </w:pPr>
      <w:r>
        <w:t>No pedir dos veces información ya confirmada.</w:t>
      </w:r>
    </w:p>
    <w:p>
      <w:pPr>
        <w:pStyle w:val="ListBullet"/>
        <w:spacing w:after="80" w:line="288" w:lineRule="auto"/>
        <w:ind w:left="540" w:hanging="271"/>
      </w:pPr>
      <w:r>
        <w:t>Mantener una sola historia de comunicación, sin separar por canal.</w:t>
      </w:r>
    </w:p>
    <w:p>
      <w:pPr>
        <w:pStyle w:val="ListBullet"/>
        <w:spacing w:after="80" w:line="288" w:lineRule="auto"/>
        <w:ind w:left="540" w:hanging="271"/>
      </w:pPr>
      <w:r>
        <w:t>Usar mensajes breves, naturales y en español.</w:t>
      </w:r>
    </w:p>
    <w:p>
      <w:pPr>
        <w:pStyle w:val="ListBullet"/>
        <w:spacing w:after="80" w:line="288" w:lineRule="auto"/>
        <w:ind w:left="540" w:hanging="271"/>
      </w:pPr>
      <w:r>
        <w:t>Mostrar al cliente solo información necesaria y confiable.</w:t>
      </w:r>
    </w:p>
    <w:p>
      <w:pPr>
        <w:pStyle w:val="ListBullet"/>
        <w:spacing w:after="80" w:line="288" w:lineRule="auto"/>
        <w:ind w:left="540" w:hanging="271"/>
      </w:pPr>
      <w:r>
        <w:t>No aprobar automáticamente extras, cambios comerciales o asignaciones.</w:t>
      </w:r>
    </w:p>
    <w:p>
      <w:pPr>
        <w:pStyle w:val="ListBullet"/>
        <w:spacing w:after="80" w:line="288" w:lineRule="auto"/>
        <w:ind w:left="540" w:hanging="271"/>
      </w:pPr>
      <w:r>
        <w:t>Registrar cada solicitud del portal en Timeline, auditoría y notificaciones internas.</w:t>
      </w:r>
    </w:p>
    <w:p>
      <w:pPr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4114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ustomer-port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D6570"/>
          <w:sz w:val="17"/>
        </w:rPr>
        <w:t>La experiencia pública concentra estado, próximos pasos y documentos en un solo lugar.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F08E2D"/>
          <w:sz w:val="17"/>
        </w:rPr>
        <w:t>GUÍA 12 · TODOS LOS ROLES</w:t>
      </w:r>
    </w:p>
    <w:p>
      <w:pPr>
        <w:pStyle w:val="Heading1"/>
      </w:pPr>
      <w:r>
        <w:t>Seguridad, auditoría y resolución de incidencias</w:t>
      </w:r>
    </w:p>
    <w:p>
      <w:pPr>
        <w:spacing w:after="200"/>
      </w:pPr>
      <w:r>
        <w:t>Actuar de forma segura ante sesiones vencidas, errores de conexión o inconsistencias de datos.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4F6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Resultado esperado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9"/>
              </w:rPr>
              <w:t>Al terminar esta guía, todos los roles podrá ejecutar el flujo sin recurrir a información simulada ni exponer datos internos.</w:t>
            </w:r>
          </w:p>
        </w:tc>
      </w:tr>
    </w:tbl>
    <w:p>
      <w:pPr>
        <w:spacing w:after="0"/>
      </w:pPr>
    </w:p>
    <w:p>
      <w:pPr>
        <w:pStyle w:val="Heading2"/>
      </w:pPr>
      <w:r>
        <w:t>Controles esenciales</w:t>
      </w:r>
    </w:p>
    <w:p>
      <w:pPr>
        <w:pStyle w:val="ListBullet"/>
        <w:spacing w:after="80" w:line="288" w:lineRule="auto"/>
        <w:ind w:left="540" w:hanging="271"/>
      </w:pPr>
      <w:r>
        <w:t>Nunca compartir contraseñas, tokens de portal, enlaces de firma o credenciales de Google.</w:t>
      </w:r>
    </w:p>
    <w:p>
      <w:pPr>
        <w:pStyle w:val="ListBullet"/>
        <w:spacing w:after="80" w:line="288" w:lineRule="auto"/>
        <w:ind w:left="540" w:hanging="271"/>
      </w:pPr>
      <w:r>
        <w:t>Cerrar sesión al terminar y bloquear el equipo al alejarse.</w:t>
      </w:r>
    </w:p>
    <w:p>
      <w:pPr>
        <w:pStyle w:val="ListBullet"/>
        <w:spacing w:after="80" w:line="288" w:lineRule="auto"/>
        <w:ind w:left="540" w:hanging="271"/>
      </w:pPr>
      <w:r>
        <w:t>Registrar razones específicas para cambios administrativos y comerciales.</w:t>
      </w:r>
    </w:p>
    <w:p>
      <w:pPr>
        <w:pStyle w:val="ListBullet"/>
        <w:spacing w:after="80" w:line="288" w:lineRule="auto"/>
        <w:ind w:left="540" w:hanging="271"/>
      </w:pPr>
      <w:r>
        <w:t>No borrar historial: Timeline y auditoría son registros permanentes.</w:t>
      </w:r>
    </w:p>
    <w:p>
      <w:pPr>
        <w:pStyle w:val="ListBullet"/>
        <w:spacing w:after="80" w:line="288" w:lineRule="auto"/>
        <w:ind w:left="540" w:hanging="271"/>
      </w:pPr>
      <w:r>
        <w:t>Ante sesión expirada, volver a iniciar sesión; no intentar eludir el control.</w:t>
      </w:r>
    </w:p>
    <w:p>
      <w:pPr>
        <w:pStyle w:val="Heading2"/>
      </w:pPr>
      <w:r>
        <w:t>Respuesta ante incidentes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Situación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Acción segura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Sesión expirada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Iniciar sesión nuevamente y verificar la ruta solicitada.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Google requiere atención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Reconectar desde Configuración; no cambiar credenciales en el navegador.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Sincronización fallida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Revisar estado, corregir datos ORBIT y reintentar de forma idempotente.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Datos no coinciden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Detener la acción, revisar Timeline y auditoría; no corregir directamente en Google.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Enlace público vencido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Generar un nuevo enlace autorizado; no reutilizar tokens.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Recurso ocupado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Cambiar asignación; nunca forzar una doble reserva.</w:t>
            </w:r>
          </w:p>
        </w:tc>
      </w:tr>
    </w:tbl>
    <w:p>
      <w:pPr>
        <w:spacing w:after="0"/>
      </w:pPr>
    </w:p>
    <w:p>
      <w:pPr>
        <w:pStyle w:val="Heading2"/>
      </w:pPr>
      <w:r>
        <w:t>Lista de cierre diario</w:t>
      </w:r>
    </w:p>
    <w:p>
      <w:pPr>
        <w:pStyle w:val="ListBullet"/>
        <w:spacing w:after="80" w:line="288" w:lineRule="auto"/>
        <w:ind w:left="540" w:hanging="271"/>
      </w:pPr>
      <w:r>
        <w:t>Eventos críticos revisados.</w:t>
      </w:r>
    </w:p>
    <w:p>
      <w:pPr>
        <w:pStyle w:val="ListBullet"/>
        <w:spacing w:after="80" w:line="288" w:lineRule="auto"/>
        <w:ind w:left="540" w:hanging="271"/>
      </w:pPr>
      <w:r>
        <w:t>Contratos, pagos y readiness actualizados.</w:t>
      </w:r>
    </w:p>
    <w:p>
      <w:pPr>
        <w:pStyle w:val="ListBullet"/>
        <w:spacing w:after="80" w:line="288" w:lineRule="auto"/>
        <w:ind w:left="540" w:hanging="271"/>
      </w:pPr>
      <w:r>
        <w:t>Calendar, Drive y Gmail sin fallos pendientes.</w:t>
      </w:r>
    </w:p>
    <w:p>
      <w:pPr>
        <w:pStyle w:val="ListBullet"/>
        <w:spacing w:after="80" w:line="288" w:lineRule="auto"/>
        <w:ind w:left="540" w:hanging="271"/>
      </w:pPr>
      <w:r>
        <w:t>Asignaciones y payroll revisados.</w:t>
      </w:r>
    </w:p>
    <w:p>
      <w:pPr>
        <w:pStyle w:val="ListBullet"/>
        <w:spacing w:after="80" w:line="288" w:lineRule="auto"/>
        <w:ind w:left="540" w:hanging="271"/>
      </w:pPr>
      <w:r>
        <w:t>Gastos y suministros registrados.</w:t>
      </w:r>
    </w:p>
    <w:p>
      <w:pPr>
        <w:pStyle w:val="ListBullet"/>
        <w:spacing w:after="80" w:line="288" w:lineRule="auto"/>
        <w:ind w:left="540" w:hanging="271"/>
      </w:pPr>
      <w:r>
        <w:t>Timeline y auditoría completos.</w:t>
      </w:r>
    </w:p>
    <w:p>
      <w:pPr>
        <w:pStyle w:val="ListBullet"/>
        <w:spacing w:after="80" w:line="288" w:lineRule="auto"/>
        <w:ind w:left="540" w:hanging="271"/>
      </w:pPr>
      <w:r>
        <w:t>Sesión cerrada.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FF7E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F08E2D"/>
                <w:sz w:val="21"/>
              </w:rPr>
              <w:t>Soporte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9"/>
              </w:rPr>
              <w:t>Cuando una operación falle, conserva el contexto: proyecto, ORBIT Event ID, hora, acción realizada y mensaje visible. No incluyas secretos ni información financiera confidencial en capturas de soporte.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F08E2D"/>
          <w:sz w:val="17"/>
        </w:rPr>
        <w:t>REFERENCIA RÁPIDA</w:t>
      </w:r>
    </w:p>
    <w:p>
      <w:pPr>
        <w:pStyle w:val="Heading1"/>
      </w:pPr>
      <w:r>
        <w:t>Mapa de navegación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Necesidad</w:t>
            </w:r>
          </w:p>
        </w:tc>
        <w:tc>
          <w:tcPr>
            <w:tcW w:type="dxa" w:w="6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Dónde ir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Decidir qué hacer ahora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Inicio / Centro de Comando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Buscar cliente o proyecto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Clientes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Preparar un evento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Centro de Comando → Abrir evento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Administrar Staff o activos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Recursos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Revisar costos y márgenes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Finanzas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Editar parámetros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Configuración → Datos Maestros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Verificar Google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Configuración → Google Workspace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Atender al cliente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Proyecto → Portal del Cliente</w:t>
            </w:r>
          </w:p>
        </w:tc>
      </w:tr>
    </w:tbl>
    <w:p>
      <w:pPr>
        <w:spacing w:after="0"/>
      </w:pPr>
    </w:p>
    <w:p>
      <w:pPr>
        <w:pStyle w:val="Heading2"/>
      </w:pPr>
      <w:r>
        <w:t>Estados que exigen acción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Color / estado</w:t>
            </w:r>
          </w:p>
        </w:tc>
        <w:tc>
          <w:tcPr>
            <w:tcW w:type="dxa" w:w="67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Interpretación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Verde · Listo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Condición confirmada.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Amarillo · Atención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Revisar antes del siguiente hito.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Rojo · Falta información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D22"/>
                <w:sz w:val="18"/>
              </w:rPr>
              <w:t>Resolver con prioridad; el panel no bloquea automáticamente.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Calibri" w:hAnsi="Calibri"/>
          <w:b/>
          <w:i w:val="0"/>
          <w:color w:val="191D22"/>
          <w:sz w:val="30"/>
        </w:rPr>
        <w:t>ORBIT v1.0</w:t>
      </w:r>
    </w:p>
    <w:p>
      <w:pPr>
        <w:jc w:val="center"/>
      </w:pPr>
      <w:r>
        <w:rPr>
          <w:rFonts w:ascii="Calibri" w:hAnsi="Calibri"/>
          <w:b w:val="0"/>
          <w:i w:val="0"/>
          <w:color w:val="5D6570"/>
          <w:sz w:val="19"/>
        </w:rPr>
        <w:t>Developed by BOOMBOX  ·  Powered by NOVA CORE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D6570"/>
        <w:sz w:val="17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3" w:color="D9DEE5"/>
      </w:pBdr>
    </w:pPr>
    <w:r>
      <w:rPr>
        <w:rFonts w:ascii="Calibri" w:hAnsi="Calibri"/>
        <w:b/>
        <w:i w:val="0"/>
        <w:color w:val="5D6570"/>
        <w:sz w:val="17"/>
      </w:rPr>
      <w:t>ORBIT v1.0  |  Manual oficial de operaciones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Calibri" w:hAnsi="Calibri"/>
      <w:color w:val="191D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ORBIT v1.0 — Manual Oficial de Operaciones</dc:title>
  <dc:subject>Manual de operación de la plataforma ORBIT para BOOMBOX</dc:subject>
  <dc:creator>BOOMBOX</dc:creator>
  <cp:keywords>ORBIT, BOOMBOX, operaciones, manual,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