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val="0"/>
        <w:widowControl/>
        <w:spacing w:before="0" w:after="420" w:line="240" w:lineRule="auto"/>
        <w:ind w:left="173" w:right="173"/>
        <w:jc w:val="center"/>
        <w:shd w:val="clear" w:color="auto" w:fill="005683"/>
        <w:pBdr>
          <w:top w:val="single" w:color="005683" w:sz="8" w:space="8"/>
          <w:left w:val="single" w:color="005683" w:sz="8" w:space="8"/>
          <w:bottom w:val="single" w:color="00A4BD" w:sz="24" w:space="8"/>
          <w:right w:val="single" w:color="005683" w:sz="8" w:space="8"/>
        </w:pBdr>
      </w:pPr>
      <w:r/>
      <w:r>
        <w:rPr>
          <w:rFonts w:ascii="Aptos Display" w:hAnsi="Aptos Display"/>
          <w:b/>
          <w:color w:val="FFFFFF"/>
          <w:sz w:val="68"/>
        </w:rPr>
        <w:t>ORBIT WEB SCADA</w:t>
      </w:r>
    </w:p>
    <w:p>
      <w:pPr>
        <w:keepNext w:val="0"/>
        <w:widowControl/>
        <w:spacing w:before="0" w:after="200" w:line="240" w:lineRule="auto"/>
        <w:jc w:val="center"/>
      </w:pPr>
      <w:r/>
      <w:r>
        <w:rPr>
          <w:rFonts w:ascii="Aptos" w:hAnsi="Aptos"/>
          <w:b/>
          <w:color w:val="007B8F"/>
          <w:sz w:val="29"/>
        </w:rPr>
        <w:t>STANDARD TECHNICAL SPECIFICATION &amp; OPERATING ARCHITECTURE MANUAL</w:t>
      </w:r>
    </w:p>
    <w:p>
      <w:pPr>
        <w:keepNext w:val="0"/>
        <w:widowControl/>
        <w:spacing w:before="0" w:after="120" w:line="240" w:lineRule="auto"/>
        <w:jc w:val="center"/>
      </w:pPr>
      <w:r/>
      <w:r>
        <w:rPr>
          <w:rFonts w:ascii="Aptos" w:hAnsi="Aptos"/>
          <w:b/>
          <w:color w:val="005683"/>
          <w:sz w:val="25"/>
        </w:rPr>
        <w:t>Global Enterprise Cloud &amp; IoT Supervisory Platform for Water Infrastructure</w:t>
      </w:r>
    </w:p>
    <w:p>
      <w:pPr>
        <w:spacing w:after="300"/>
        <w:jc w:val="center"/>
      </w:pPr>
      <w:r/>
      <w:r>
        <w:rPr>
          <w:rFonts w:ascii="Aptos" w:hAnsi="Aptos"/>
          <w:b/>
          <w:color w:val="007B8F"/>
          <w:sz w:val="20"/>
        </w:rPr>
        <w:t>INTAKE PUMPING STATIONS   •   WATER TREATMENT PLANTS   •   BOOSTER STATIONS   •   OVERHEAD RESERVOIRS</w:t>
      </w:r>
    </w:p>
    <w:p>
      <w:pPr>
        <w:keepNext w:val="0"/>
        <w:widowControl/>
        <w:spacing w:before="0" w:after="280" w:line="240" w:lineRule="auto"/>
      </w:pPr>
      <w:r/>
      <w:r>
        <w:rPr>
          <w:rFonts w:ascii="Aptos" w:hAnsi="Aptos"/>
          <w:b w:val="0"/>
          <w:color w:val="243C49"/>
          <w:sz w:val="22"/>
        </w:rPr>
        <w:t>Orbit Engineering Solutions Web SCADA is an enterprise-grade Industrial IoT and cloud supervisory platform engineered for municipal and state water infrastructure schemes (AMRUT 2.0, Jal Jeevan Mission, MPUDC). It establishes a zero-client, multi-user web monitoring environment for plant operators, instrumentation engineers, and project authorities. Combining real-time MQTT edge acquisition, high-availability PostgreSQL cloud historization, automated MPGARUD GIS compliance, and responsive animated mimics, it delivers modern operational intelligence while strictly upholding industrial fail-safe principles.</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2376"/>
        <w:gridCol w:w="6653"/>
      </w:tblGrid>
      <w:tr>
        <w:trPr>
          <w:cantSplit/>
          <w:tblHeader/>
        </w:trPr>
        <w:tc>
          <w:tcPr>
            <w:tcW w:type="dxa" w:w="2376"/>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DOCUMENT CONTROL</w:t>
            </w:r>
          </w:p>
        </w:tc>
        <w:tc>
          <w:tcPr>
            <w:tcW w:type="dxa" w:w="6653"/>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CURRENT SPECIFICATION</w:t>
            </w:r>
          </w:p>
        </w:tc>
      </w:tr>
      <w:tr>
        <w:trPr>
          <w:cantSplit/>
        </w:trPr>
        <w:tc>
          <w:tcPr>
            <w:tcW w:type="dxa" w:w="237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Document number</w:t>
            </w:r>
          </w:p>
        </w:tc>
        <w:tc>
          <w:tcPr>
            <w:tcW w:type="dxa" w:w="6653"/>
            <w:vAlign w:val="center"/>
            <w:shd w:val="clear" w:color="auto" w:fill="EDF7FB"/>
            <w:tcMar>
              <w:top w:w="70" w:type="dxa"/>
              <w:bottom w:w="70" w:type="dxa"/>
              <w:left w:w="95" w:type="dxa"/>
              <w:right w:w="95" w:type="dxa"/>
            </w:tcMar>
          </w:tcPr>
          <w:p>
            <w:pPr>
              <w:jc w:val="left"/>
              <w:spacing w:before="0" w:after="0" w:line="240" w:lineRule="auto"/>
            </w:pPr>
            <w:r/>
            <w:r>
              <w:rPr>
                <w:rFonts w:ascii="Aptos" w:hAnsi="Aptos"/>
                <w:b w:val="0"/>
                <w:color w:val="243C49"/>
                <w:sz w:val="19"/>
              </w:rPr>
              <w:t>OES/SCADA/STD/SPEC/2026-01</w:t>
            </w:r>
          </w:p>
        </w:tc>
      </w:tr>
      <w:tr>
        <w:trPr>
          <w:cantSplit/>
        </w:trPr>
        <w:tc>
          <w:tcPr>
            <w:tcW w:type="dxa" w:w="237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Revision</w:t>
            </w:r>
          </w:p>
        </w:tc>
        <w:tc>
          <w:tcPr>
            <w:tcW w:type="dxa" w:w="665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Rev 1.0 (Enterprise Fleet Release)</w:t>
            </w:r>
          </w:p>
        </w:tc>
      </w:tr>
      <w:tr>
        <w:trPr>
          <w:cantSplit/>
        </w:trPr>
        <w:tc>
          <w:tcPr>
            <w:tcW w:type="dxa" w:w="237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Issue date</w:t>
            </w:r>
          </w:p>
        </w:tc>
        <w:tc>
          <w:tcPr>
            <w:tcW w:type="dxa" w:w="6653"/>
            <w:vAlign w:val="center"/>
            <w:shd w:val="clear" w:color="auto" w:fill="EDF7FB"/>
            <w:tcMar>
              <w:top w:w="70" w:type="dxa"/>
              <w:bottom w:w="70" w:type="dxa"/>
              <w:left w:w="95" w:type="dxa"/>
              <w:right w:w="95" w:type="dxa"/>
            </w:tcMar>
          </w:tcPr>
          <w:p>
            <w:pPr>
              <w:jc w:val="left"/>
              <w:spacing w:before="0" w:after="0" w:line="240" w:lineRule="auto"/>
            </w:pPr>
            <w:r/>
            <w:r>
              <w:rPr>
                <w:rFonts w:ascii="Aptos" w:hAnsi="Aptos"/>
                <w:b w:val="0"/>
                <w:color w:val="243C49"/>
                <w:sz w:val="19"/>
              </w:rPr>
              <w:t>08 October 2026</w:t>
            </w:r>
          </w:p>
        </w:tc>
      </w:tr>
      <w:tr>
        <w:trPr>
          <w:cantSplit/>
        </w:trPr>
        <w:tc>
          <w:tcPr>
            <w:tcW w:type="dxa" w:w="237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Issue purpose</w:t>
            </w:r>
          </w:p>
        </w:tc>
        <w:tc>
          <w:tcPr>
            <w:tcW w:type="dxa" w:w="665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Master Standard Technical Specification &amp; Engineering Manual</w:t>
            </w:r>
          </w:p>
        </w:tc>
      </w:tr>
    </w:tbl>
    <w:p>
      <w:pPr>
        <w:keepNext w:val="0"/>
        <w:widowControl/>
        <w:spacing w:before="0" w:after="100" w:line="240" w:lineRule="auto"/>
      </w:pPr>
    </w:p>
    <w:p>
      <w:pPr>
        <w:keepNext w:val="0"/>
        <w:widowControl/>
        <w:spacing w:before="0" w:after="160" w:line="240" w:lineRule="auto"/>
      </w:pPr>
      <w:r/>
      <w:r>
        <w:rPr>
          <w:rFonts w:ascii="Aptos" w:hAnsi="Aptos"/>
          <w:b/>
          <w:color w:val="005683"/>
          <w:sz w:val="22"/>
        </w:rPr>
        <w:t>Purpose</w:t>
      </w:r>
      <w:r>
        <w:rPr>
          <w:rFonts w:ascii="Aptos" w:hAnsi="Aptos"/>
          <w:b w:val="0"/>
          <w:color w:val="243C49"/>
          <w:sz w:val="22"/>
        </w:rPr>
        <w:t xml:space="preserve">  Define the standard enterprise SCADA architecture, establish communication and telemetry data quality rules, benchmark advanced cloud capabilities against traditional local SCADA, describe standard operator workflows, and govern factory and site acceptance testing for multi-project fleet handovers.</w:t>
      </w:r>
    </w:p>
    <w:p>
      <w:pPr>
        <w:keepNext w:val="0"/>
        <w:widowControl/>
        <w:spacing w:before="0" w:after="160" w:line="240" w:lineRule="auto"/>
      </w:pPr>
      <w:r/>
      <w:r>
        <w:rPr>
          <w:rFonts w:ascii="Aptos" w:hAnsi="Aptos"/>
          <w:b/>
          <w:color w:val="005683"/>
          <w:sz w:val="22"/>
        </w:rPr>
        <w:t>Control scope</w:t>
      </w:r>
      <w:r>
        <w:rPr>
          <w:rFonts w:ascii="Aptos" w:hAnsi="Aptos"/>
          <w:b w:val="0"/>
          <w:color w:val="243C49"/>
          <w:sz w:val="22"/>
        </w:rPr>
        <w:t xml:space="preserve">  Strict fail-safe separation of monitoring and field control. All physical motor starters, valve interlocks, permissives, protection sequences, and automatic closed-loop controls are executed autonomously by approved site PLCs. Orbit Web SCADA delivers non-intrusive high-frequency telemetry, alarm annunciation, durable cloud historization, and automated compliance reporting.</w:t>
      </w:r>
    </w:p>
    <w:p>
      <w:pPr>
        <w:keepNext w:val="0"/>
        <w:widowControl/>
        <w:spacing w:before="0" w:after="80" w:line="240" w:lineRule="auto"/>
      </w:pPr>
      <w:r/>
      <w:r>
        <w:rPr>
          <w:rFonts w:ascii="Aptos" w:hAnsi="Aptos"/>
          <w:b/>
          <w:color w:val="005683"/>
          <w:sz w:val="22"/>
        </w:rPr>
        <w:t>Issued by</w:t>
      </w:r>
      <w:r>
        <w:rPr>
          <w:rFonts w:ascii="Aptos" w:hAnsi="Aptos"/>
          <w:b w:val="0"/>
          <w:color w:val="005683"/>
          <w:sz w:val="22"/>
        </w:rPr>
        <w:t xml:space="preserve">  M/s. Orbit Engineering Solutions</w:t>
      </w:r>
    </w:p>
    <w:p>
      <w:pPr>
        <w:keepNext w:val="0"/>
        <w:widowControl/>
        <w:spacing w:before="0" w:after="0" w:line="240" w:lineRule="auto"/>
      </w:pPr>
      <w:r/>
      <w:r>
        <w:rPr>
          <w:rFonts w:ascii="Aptos" w:hAnsi="Aptos"/>
          <w:b w:val="0"/>
          <w:color w:val="243C49"/>
          <w:sz w:val="22"/>
        </w:rPr>
        <w:t>Industrial Automation, SCADA Engineering &amp; Smart Water Solutions</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DOCUMENT CONTROL AND CONTENTS</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1224"/>
        <w:gridCol w:w="1584"/>
        <w:gridCol w:w="6221"/>
      </w:tblGrid>
      <w:tr>
        <w:trPr>
          <w:cantSplit/>
          <w:tblHeader/>
        </w:trPr>
        <w:tc>
          <w:tcPr>
            <w:tcW w:type="dxa" w:w="1224"/>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Revision</w:t>
            </w:r>
          </w:p>
        </w:tc>
        <w:tc>
          <w:tcPr>
            <w:tcW w:type="dxa" w:w="1584"/>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Date</w:t>
            </w:r>
          </w:p>
        </w:tc>
        <w:tc>
          <w:tcPr>
            <w:tcW w:type="dxa" w:w="6221"/>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Description</w:t>
            </w:r>
          </w:p>
        </w:tc>
      </w:tr>
      <w:tr>
        <w:trPr>
          <w:cantSplit/>
        </w:trPr>
        <w:tc>
          <w:tcPr>
            <w:tcW w:type="dxa" w:w="1224"/>
            <w:vAlign w:val="center"/>
            <w:shd w:val="clear" w:color="auto" w:fill="EDF7FB"/>
            <w:tcMar>
              <w:top w:w="70" w:type="dxa"/>
              <w:bottom w:w="70" w:type="dxa"/>
              <w:left w:w="95" w:type="dxa"/>
              <w:right w:w="95" w:type="dxa"/>
            </w:tcMar>
          </w:tcPr>
          <w:p>
            <w:pPr>
              <w:jc w:val="left"/>
              <w:spacing w:before="0" w:after="0" w:line="240" w:lineRule="auto"/>
            </w:pPr>
            <w:r/>
            <w:r>
              <w:rPr>
                <w:rFonts w:ascii="Aptos" w:hAnsi="Aptos"/>
                <w:b/>
                <w:color w:val="005683"/>
                <w:sz w:val="19"/>
              </w:rPr>
              <w:t>Rev 1.0</w:t>
            </w:r>
          </w:p>
        </w:tc>
        <w:tc>
          <w:tcPr>
            <w:tcW w:type="dxa" w:w="1584"/>
            <w:vAlign w:val="center"/>
            <w:shd w:val="clear" w:color="auto" w:fill="EDF7FB"/>
            <w:tcMar>
              <w:top w:w="70" w:type="dxa"/>
              <w:bottom w:w="70" w:type="dxa"/>
              <w:left w:w="95" w:type="dxa"/>
              <w:right w:w="95" w:type="dxa"/>
            </w:tcMar>
          </w:tcPr>
          <w:p>
            <w:pPr>
              <w:jc w:val="left"/>
              <w:spacing w:before="0" w:after="0" w:line="240" w:lineRule="auto"/>
            </w:pPr>
            <w:r/>
            <w:r>
              <w:rPr>
                <w:rFonts w:ascii="Aptos" w:hAnsi="Aptos"/>
                <w:b w:val="0"/>
                <w:color w:val="243C49"/>
                <w:sz w:val="19"/>
              </w:rPr>
              <w:t>08 Oct 2026</w:t>
            </w:r>
          </w:p>
        </w:tc>
        <w:tc>
          <w:tcPr>
            <w:tcW w:type="dxa" w:w="6221"/>
            <w:vAlign w:val="center"/>
            <w:shd w:val="clear" w:color="auto" w:fill="EDF7FB"/>
            <w:tcMar>
              <w:top w:w="70" w:type="dxa"/>
              <w:bottom w:w="70" w:type="dxa"/>
              <w:left w:w="95" w:type="dxa"/>
              <w:right w:w="95" w:type="dxa"/>
            </w:tcMar>
          </w:tcPr>
          <w:p>
            <w:pPr>
              <w:jc w:val="left"/>
              <w:spacing w:before="0" w:after="0" w:line="240" w:lineRule="auto"/>
            </w:pPr>
            <w:r/>
            <w:r>
              <w:rPr>
                <w:rFonts w:ascii="Aptos" w:hAnsi="Aptos"/>
                <w:b w:val="0"/>
                <w:color w:val="243C49"/>
                <w:sz w:val="19"/>
              </w:rPr>
              <w:t>Master Enterprise Platform Specification &amp; Operating Manual (Multi-Site Fleet Edition)</w:t>
            </w:r>
          </w:p>
        </w:tc>
      </w:tr>
    </w:tbl>
    <w:p>
      <w:pPr>
        <w:keepNext w:val="0"/>
        <w:widowControl/>
        <w:spacing w:before="0" w:after="100" w:line="240" w:lineRule="auto"/>
      </w:pPr>
    </w:p>
    <w:p>
      <w:pPr>
        <w:keepNext w:val="0"/>
        <w:widowControl/>
        <w:spacing w:before="0" w:after="160" w:line="240" w:lineRule="auto"/>
      </w:pPr>
      <w:r/>
      <w:r>
        <w:rPr>
          <w:rFonts w:ascii="Aptos" w:hAnsi="Aptos"/>
          <w:b w:val="0"/>
          <w:color w:val="243C49"/>
          <w:sz w:val="21"/>
        </w:rPr>
        <w:t>This controlled document defines the standard platform architecture, data structures, and operational protocols for Orbit Web SCADA. Applicable site configurations, instrument schedules, and acceptance records are governed under this master specification.</w:t>
      </w:r>
    </w:p>
    <w:p>
      <w:pPr>
        <w:spacing w:after="40" w:line="240" w:lineRule="auto"/>
      </w:pPr>
      <w:r/>
      <w:r>
        <w:rPr>
          <w:rFonts w:ascii="Aptos" w:hAnsi="Aptos"/>
          <w:b/>
          <w:color w:val="005683"/>
          <w:sz w:val="21"/>
        </w:rPr>
        <w:t>Document owner</w:t>
      </w:r>
      <w:r>
        <w:rPr>
          <w:rFonts w:ascii="Aptos" w:hAnsi="Aptos"/>
          <w:b w:val="0"/>
          <w:color w:val="243C49"/>
          <w:sz w:val="21"/>
        </w:rPr>
        <w:t xml:space="preserve">  Orbit Engineering Solutions   |   </w:t>
      </w:r>
      <w:r>
        <w:rPr>
          <w:rFonts w:ascii="Aptos" w:hAnsi="Aptos"/>
          <w:b/>
          <w:color w:val="005683"/>
          <w:sz w:val="21"/>
        </w:rPr>
        <w:t>Platform</w:t>
      </w:r>
      <w:r>
        <w:rPr>
          <w:rFonts w:ascii="Aptos" w:hAnsi="Aptos"/>
          <w:b w:val="0"/>
          <w:color w:val="243C49"/>
          <w:sz w:val="21"/>
        </w:rPr>
        <w:t xml:space="preserve">  Orbit Web SCADA Enterprise (OES-WebSCADA)</w:t>
      </w:r>
    </w:p>
    <w:p>
      <w:pPr>
        <w:spacing w:after="40" w:line="240" w:lineRule="auto"/>
      </w:pPr>
      <w:r/>
      <w:r>
        <w:rPr>
          <w:rFonts w:ascii="Aptos" w:hAnsi="Aptos"/>
          <w:b/>
          <w:color w:val="005683"/>
          <w:sz w:val="21"/>
        </w:rPr>
        <w:t>Applicable Fleet Scope</w:t>
      </w:r>
      <w:r>
        <w:rPr>
          <w:rFonts w:ascii="Aptos" w:hAnsi="Aptos"/>
          <w:b w:val="0"/>
          <w:color w:val="243C49"/>
          <w:sz w:val="21"/>
        </w:rPr>
        <w:t xml:space="preserve">  Master Specification for Omkareshwar, Mohgaon, Palera, Rampur Naikin, Gurh &amp; State Water Schemes   |   </w:t>
      </w:r>
      <w:r>
        <w:rPr>
          <w:rFonts w:ascii="Aptos" w:hAnsi="Aptos"/>
          <w:b/>
          <w:color w:val="005683"/>
          <w:sz w:val="21"/>
        </w:rPr>
        <w:t>Baseline Release</w:t>
      </w:r>
      <w:r>
        <w:rPr>
          <w:rFonts w:ascii="Aptos" w:hAnsi="Aptos"/>
          <w:b w:val="0"/>
          <w:color w:val="243C49"/>
          <w:sz w:val="21"/>
        </w:rPr>
        <w:t xml:space="preserve">  v2.4 Enterprise</w:t>
      </w:r>
    </w:p>
    <w:p>
      <w:pPr>
        <w:spacing w:after="80"/>
      </w:pPr>
      <w:r/>
      <w:r>
        <w:rPr>
          <w:rFonts w:ascii="Aptos" w:hAnsi="Aptos"/>
          <w:b w:val="0"/>
          <w:color w:val="243C49"/>
          <w:sz w:val="20"/>
        </w:rPr>
        <w:t>Record the site deployment identifier and commissioned instrument schedule in the final project handover dossier.</w:t>
      </w:r>
    </w:p>
    <w:p>
      <w:pPr>
        <w:pStyle w:val="Heading2"/>
        <w:keepNext/>
        <w:pageBreakBefore w:val="0"/>
        <w:widowControl/>
        <w:spacing w:before="140" w:after="140" w:line="240" w:lineRule="auto"/>
        <w:ind w:left="0" w:right="0"/>
      </w:pPr>
      <w:r>
        <w:rPr>
          <w:rFonts w:ascii="Aptos" w:hAnsi="Aptos"/>
          <w:b/>
          <w:color w:val="007B8F"/>
          <w:sz w:val="25"/>
          <w:u w:val="none"/>
        </w:rPr>
        <w:t>Review and authorization</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1728"/>
        <w:gridCol w:w="3816"/>
        <w:gridCol w:w="3485"/>
      </w:tblGrid>
      <w:tr>
        <w:trPr>
          <w:cantSplit/>
          <w:tblHeader/>
        </w:trPr>
        <w:tc>
          <w:tcPr>
            <w:tcW w:type="dxa" w:w="1728"/>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Responsibility</w:t>
            </w:r>
          </w:p>
        </w:tc>
        <w:tc>
          <w:tcPr>
            <w:tcW w:type="dxa" w:w="3816"/>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Name and designation</w:t>
            </w:r>
          </w:p>
        </w:tc>
        <w:tc>
          <w:tcPr>
            <w:tcW w:type="dxa" w:w="3485"/>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Signature and date</w:t>
            </w:r>
          </w:p>
        </w:tc>
      </w:tr>
      <w:tr>
        <w:trPr>
          <w:cantSplit/>
        </w:trPr>
        <w:tc>
          <w:tcPr>
            <w:tcW w:type="dxa" w:w="172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Prepared by</w:t>
            </w:r>
          </w:p>
        </w:tc>
        <w:tc>
          <w:tcPr>
            <w:tcW w:type="dxa" w:w="3816"/>
            <w:vAlign w:val="center"/>
            <w:shd w:val="clear" w:color="auto" w:fill="EDF7FB"/>
            <w:tcMar>
              <w:top w:w="70" w:type="dxa"/>
              <w:bottom w:w="70" w:type="dxa"/>
              <w:left w:w="95" w:type="dxa"/>
              <w:right w:w="95" w:type="dxa"/>
            </w:tcMar>
          </w:tcPr>
          <w:p>
            <w:pPr>
              <w:jc w:val="left"/>
              <w:spacing w:before="0" w:after="0" w:line="240" w:lineRule="auto"/>
            </w:pPr>
            <w:r/>
            <w:r>
              <w:rPr>
                <w:rFonts w:ascii="Aptos" w:hAnsi="Aptos"/>
                <w:b w:val="0"/>
                <w:color w:val="243C49"/>
                <w:sz w:val="19"/>
              </w:rPr>
              <w:t>Automation Engineering Team / Orbit Engineering Solutions</w:t>
            </w:r>
          </w:p>
        </w:tc>
        <w:tc>
          <w:tcPr>
            <w:tcW w:type="dxa" w:w="3485"/>
            <w:vAlign w:val="center"/>
            <w:shd w:val="clear" w:color="auto" w:fill="EDF7FB"/>
            <w:tcMar>
              <w:top w:w="70" w:type="dxa"/>
              <w:bottom w:w="70" w:type="dxa"/>
              <w:left w:w="95" w:type="dxa"/>
              <w:right w:w="95" w:type="dxa"/>
            </w:tcMar>
          </w:tcPr>
          <w:p>
            <w:pPr>
              <w:jc w:val="left"/>
              <w:spacing w:before="0" w:after="0" w:line="240" w:lineRule="auto"/>
            </w:pPr>
            <w:r/>
            <w:r>
              <w:rPr>
                <w:rFonts w:ascii="Aptos" w:hAnsi="Aptos"/>
                <w:b w:val="0"/>
                <w:color w:val="243C49"/>
                <w:sz w:val="19"/>
              </w:rPr>
              <w:t>________________________</w:t>
            </w:r>
          </w:p>
        </w:tc>
      </w:tr>
      <w:tr>
        <w:trPr>
          <w:cantSplit/>
        </w:trPr>
        <w:tc>
          <w:tcPr>
            <w:tcW w:type="dxa" w:w="172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Reviewed by</w:t>
            </w:r>
          </w:p>
        </w:tc>
        <w:tc>
          <w:tcPr>
            <w:tcW w:type="dxa" w:w="381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Head of SCADA &amp; Instrumentation / Orbit Engineering Solutions</w:t>
            </w:r>
          </w:p>
        </w:tc>
        <w:tc>
          <w:tcPr>
            <w:tcW w:type="dxa" w:w="3485"/>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________________________</w:t>
            </w:r>
          </w:p>
        </w:tc>
      </w:tr>
      <w:tr>
        <w:trPr>
          <w:cantSplit/>
        </w:trPr>
        <w:tc>
          <w:tcPr>
            <w:tcW w:type="dxa" w:w="172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Approved by</w:t>
            </w:r>
          </w:p>
        </w:tc>
        <w:tc>
          <w:tcPr>
            <w:tcW w:type="dxa" w:w="3816"/>
            <w:vAlign w:val="center"/>
            <w:shd w:val="clear" w:color="auto" w:fill="EDF7FB"/>
            <w:tcMar>
              <w:top w:w="70" w:type="dxa"/>
              <w:bottom w:w="70" w:type="dxa"/>
              <w:left w:w="95" w:type="dxa"/>
              <w:right w:w="95" w:type="dxa"/>
            </w:tcMar>
          </w:tcPr>
          <w:p>
            <w:pPr>
              <w:jc w:val="left"/>
              <w:spacing w:before="0" w:after="0" w:line="240" w:lineRule="auto"/>
            </w:pPr>
            <w:r/>
            <w:r>
              <w:rPr>
                <w:rFonts w:ascii="Aptos" w:hAnsi="Aptos"/>
                <w:b w:val="0"/>
                <w:color w:val="243C49"/>
                <w:sz w:val="19"/>
              </w:rPr>
              <w:t>Chief Technical Officer / Executive Director / Orbit Engineering Solutions</w:t>
            </w:r>
          </w:p>
        </w:tc>
        <w:tc>
          <w:tcPr>
            <w:tcW w:type="dxa" w:w="3485"/>
            <w:vAlign w:val="center"/>
            <w:shd w:val="clear" w:color="auto" w:fill="EDF7FB"/>
            <w:tcMar>
              <w:top w:w="70" w:type="dxa"/>
              <w:bottom w:w="70" w:type="dxa"/>
              <w:left w:w="95" w:type="dxa"/>
              <w:right w:w="95" w:type="dxa"/>
            </w:tcMar>
          </w:tcPr>
          <w:p>
            <w:pPr>
              <w:jc w:val="left"/>
              <w:spacing w:before="0" w:after="0" w:line="240" w:lineRule="auto"/>
            </w:pPr>
            <w:r/>
            <w:r>
              <w:rPr>
                <w:rFonts w:ascii="Aptos" w:hAnsi="Aptos"/>
                <w:b w:val="0"/>
                <w:color w:val="243C49"/>
                <w:sz w:val="19"/>
              </w:rPr>
              <w:t>________________________</w:t>
            </w:r>
          </w:p>
        </w:tc>
      </w:tr>
    </w:tbl>
    <w:p>
      <w:pPr>
        <w:keepNext w:val="0"/>
        <w:widowControl/>
        <w:spacing w:before="0" w:after="100" w:line="240" w:lineRule="auto"/>
      </w:pPr>
    </w:p>
    <w:p>
      <w:pPr>
        <w:pStyle w:val="Heading2"/>
        <w:keepNext/>
        <w:pageBreakBefore w:val="0"/>
        <w:widowControl/>
        <w:spacing w:before="140" w:after="140" w:line="240" w:lineRule="auto"/>
        <w:ind w:left="0" w:right="0"/>
      </w:pPr>
      <w:r>
        <w:rPr>
          <w:rFonts w:ascii="Aptos" w:hAnsi="Aptos"/>
          <w:b/>
          <w:color w:val="007B8F"/>
          <w:sz w:val="25"/>
          <w:u w:val="none"/>
        </w:rPr>
        <w:t>Contents</w:t>
      </w:r>
    </w:p>
    <w:p>
      <w:pPr>
        <w:keepNext w:val="0"/>
        <w:widowControl/>
        <w:tabs>
          <w:tab w:pos="8856" w:val="right"/>
        </w:tabs>
        <w:spacing w:before="0" w:after="40" w:line="240" w:lineRule="auto"/>
      </w:pPr>
      <w:r/>
      <w:r>
        <w:rPr>
          <w:rFonts w:ascii="Aptos" w:hAnsi="Aptos"/>
          <w:b w:val="0"/>
          <w:color w:val="005683"/>
          <w:sz w:val="20"/>
        </w:rPr>
        <w:t>1 System Overview &amp; Enterprise Scope</w:t>
      </w:r>
      <w:r>
        <w:rPr>
          <w:rFonts w:ascii="Aptos" w:hAnsi="Aptos"/>
          <w:b/>
          <w:color w:val="007B8F"/>
          <w:sz w:val="20"/>
        </w:rPr>
        <w:tab/>
        <w:t>3</w:t>
      </w:r>
    </w:p>
    <w:p>
      <w:pPr>
        <w:keepNext w:val="0"/>
        <w:widowControl/>
        <w:tabs>
          <w:tab w:pos="8856" w:val="right"/>
        </w:tabs>
        <w:spacing w:before="0" w:after="40" w:line="240" w:lineRule="auto"/>
      </w:pPr>
      <w:r/>
      <w:r>
        <w:rPr>
          <w:rFonts w:ascii="Aptos" w:hAnsi="Aptos"/>
          <w:b w:val="0"/>
          <w:color w:val="005683"/>
          <w:sz w:val="20"/>
        </w:rPr>
        <w:t>2 Industrial SCADA Benchmark: Traditional vs. Orbit Web SCADA</w:t>
      </w:r>
      <w:r>
        <w:rPr>
          <w:rFonts w:ascii="Aptos" w:hAnsi="Aptos"/>
          <w:b/>
          <w:color w:val="007B8F"/>
          <w:sz w:val="20"/>
        </w:rPr>
        <w:tab/>
        <w:t>4</w:t>
      </w:r>
    </w:p>
    <w:p>
      <w:pPr>
        <w:keepNext w:val="0"/>
        <w:widowControl/>
        <w:tabs>
          <w:tab w:pos="8856" w:val="right"/>
        </w:tabs>
        <w:spacing w:before="0" w:after="40" w:line="240" w:lineRule="auto"/>
      </w:pPr>
      <w:r/>
      <w:r>
        <w:rPr>
          <w:rFonts w:ascii="Aptos" w:hAnsi="Aptos"/>
          <w:b w:val="0"/>
          <w:color w:val="005683"/>
          <w:sz w:val="20"/>
        </w:rPr>
        <w:t>3 End-to-End Enterprise Architecture</w:t>
      </w:r>
      <w:r>
        <w:rPr>
          <w:rFonts w:ascii="Aptos" w:hAnsi="Aptos"/>
          <w:b/>
          <w:color w:val="007B8F"/>
          <w:sz w:val="20"/>
        </w:rPr>
        <w:tab/>
        <w:t>5</w:t>
      </w:r>
    </w:p>
    <w:p>
      <w:pPr>
        <w:keepNext w:val="0"/>
        <w:widowControl/>
        <w:tabs>
          <w:tab w:pos="8856" w:val="right"/>
        </w:tabs>
        <w:spacing w:before="0" w:after="40" w:line="240" w:lineRule="auto"/>
      </w:pPr>
      <w:r/>
      <w:r>
        <w:rPr>
          <w:rFonts w:ascii="Aptos" w:hAnsi="Aptos"/>
          <w:b w:val="0"/>
          <w:color w:val="005683"/>
          <w:sz w:val="20"/>
        </w:rPr>
        <w:t>4 Industrial Water Domain &amp; Instrumentation Tag Model</w:t>
      </w:r>
      <w:r>
        <w:rPr>
          <w:rFonts w:ascii="Aptos" w:hAnsi="Aptos"/>
          <w:b/>
          <w:color w:val="007B8F"/>
          <w:sz w:val="20"/>
        </w:rPr>
        <w:tab/>
        <w:t>6</w:t>
      </w:r>
    </w:p>
    <w:p>
      <w:pPr>
        <w:keepNext w:val="0"/>
        <w:widowControl/>
        <w:tabs>
          <w:tab w:pos="8856" w:val="right"/>
        </w:tabs>
        <w:spacing w:before="0" w:after="40" w:line="240" w:lineRule="auto"/>
      </w:pPr>
      <w:r/>
      <w:r>
        <w:rPr>
          <w:rFonts w:ascii="Aptos" w:hAnsi="Aptos"/>
          <w:b w:val="0"/>
          <w:color w:val="005683"/>
          <w:sz w:val="20"/>
        </w:rPr>
        <w:t>5 Telemetry, Protocol &amp; Industrial Data Quality</w:t>
      </w:r>
      <w:r>
        <w:rPr>
          <w:rFonts w:ascii="Aptos" w:hAnsi="Aptos"/>
          <w:b/>
          <w:color w:val="007B8F"/>
          <w:sz w:val="20"/>
        </w:rPr>
        <w:tab/>
        <w:t>7</w:t>
      </w:r>
    </w:p>
    <w:p>
      <w:pPr>
        <w:keepNext w:val="0"/>
        <w:widowControl/>
        <w:tabs>
          <w:tab w:pos="8856" w:val="right"/>
        </w:tabs>
        <w:spacing w:before="0" w:after="40" w:line="240" w:lineRule="auto"/>
      </w:pPr>
      <w:r/>
      <w:r>
        <w:rPr>
          <w:rFonts w:ascii="Aptos" w:hAnsi="Aptos"/>
          <w:b w:val="0"/>
          <w:color w:val="005683"/>
          <w:sz w:val="20"/>
        </w:rPr>
        <w:t>6 Operator Workflow &amp; Supervisory Usability</w:t>
      </w:r>
      <w:r>
        <w:rPr>
          <w:rFonts w:ascii="Aptos" w:hAnsi="Aptos"/>
          <w:b/>
          <w:color w:val="007B8F"/>
          <w:sz w:val="20"/>
        </w:rPr>
        <w:tab/>
        <w:t>8</w:t>
      </w:r>
    </w:p>
    <w:p>
      <w:pPr>
        <w:keepNext w:val="0"/>
        <w:widowControl/>
        <w:tabs>
          <w:tab w:pos="8856" w:val="right"/>
        </w:tabs>
        <w:spacing w:before="0" w:after="40" w:line="240" w:lineRule="auto"/>
      </w:pPr>
      <w:r/>
      <w:r>
        <w:rPr>
          <w:rFonts w:ascii="Aptos" w:hAnsi="Aptos"/>
          <w:b w:val="0"/>
          <w:color w:val="005683"/>
          <w:sz w:val="20"/>
        </w:rPr>
        <w:t>7 Central Alarm &amp; Diagnostics Engine</w:t>
      </w:r>
      <w:r>
        <w:rPr>
          <w:rFonts w:ascii="Aptos" w:hAnsi="Aptos"/>
          <w:b/>
          <w:color w:val="007B8F"/>
          <w:sz w:val="20"/>
        </w:rPr>
        <w:tab/>
        <w:t>9</w:t>
      </w:r>
    </w:p>
    <w:p>
      <w:pPr>
        <w:keepNext w:val="0"/>
        <w:widowControl/>
        <w:tabs>
          <w:tab w:pos="8856" w:val="right"/>
        </w:tabs>
        <w:spacing w:before="0" w:after="40" w:line="240" w:lineRule="auto"/>
      </w:pPr>
      <w:r/>
      <w:r>
        <w:rPr>
          <w:rFonts w:ascii="Aptos" w:hAnsi="Aptos"/>
          <w:b w:val="0"/>
          <w:color w:val="005683"/>
          <w:sz w:val="20"/>
        </w:rPr>
        <w:t>8 Real-Time Trends &amp; Advanced Plant Analytics</w:t>
      </w:r>
      <w:r>
        <w:rPr>
          <w:rFonts w:ascii="Aptos" w:hAnsi="Aptos"/>
          <w:b/>
          <w:color w:val="007B8F"/>
          <w:sz w:val="20"/>
        </w:rPr>
        <w:tab/>
        <w:t>10</w:t>
      </w:r>
    </w:p>
    <w:p>
      <w:pPr>
        <w:keepNext w:val="0"/>
        <w:widowControl/>
        <w:tabs>
          <w:tab w:pos="8856" w:val="right"/>
        </w:tabs>
        <w:spacing w:before="0" w:after="40" w:line="240" w:lineRule="auto"/>
      </w:pPr>
      <w:r/>
      <w:r>
        <w:rPr>
          <w:rFonts w:ascii="Aptos" w:hAnsi="Aptos"/>
          <w:b w:val="0"/>
          <w:color w:val="005683"/>
          <w:sz w:val="20"/>
        </w:rPr>
        <w:t>9 Durable Historian &amp; Automated Shift Reporting</w:t>
      </w:r>
      <w:r>
        <w:rPr>
          <w:rFonts w:ascii="Aptos" w:hAnsi="Aptos"/>
          <w:b/>
          <w:color w:val="007B8F"/>
          <w:sz w:val="20"/>
        </w:rPr>
        <w:tab/>
        <w:t>11</w:t>
      </w:r>
    </w:p>
    <w:p>
      <w:pPr>
        <w:keepNext w:val="0"/>
        <w:widowControl/>
        <w:tabs>
          <w:tab w:pos="8856" w:val="right"/>
        </w:tabs>
        <w:spacing w:before="0" w:after="40" w:line="240" w:lineRule="auto"/>
      </w:pPr>
      <w:r/>
      <w:r>
        <w:rPr>
          <w:rFonts w:ascii="Aptos" w:hAnsi="Aptos"/>
          <w:b w:val="0"/>
          <w:color w:val="005683"/>
          <w:sz w:val="20"/>
        </w:rPr>
        <w:t>10 Government GIS Integration (MPGARUD / UADD API)</w:t>
      </w:r>
      <w:r>
        <w:rPr>
          <w:rFonts w:ascii="Aptos" w:hAnsi="Aptos"/>
          <w:b/>
          <w:color w:val="007B8F"/>
          <w:sz w:val="20"/>
        </w:rPr>
        <w:tab/>
        <w:t>12</w:t>
      </w:r>
    </w:p>
    <w:p>
      <w:pPr>
        <w:keepNext w:val="0"/>
        <w:widowControl/>
        <w:tabs>
          <w:tab w:pos="8856" w:val="right"/>
        </w:tabs>
        <w:spacing w:before="0" w:after="40" w:line="240" w:lineRule="auto"/>
      </w:pPr>
      <w:r/>
      <w:r>
        <w:rPr>
          <w:rFonts w:ascii="Aptos" w:hAnsi="Aptos"/>
          <w:b w:val="0"/>
          <w:color w:val="005683"/>
          <w:sz w:val="20"/>
        </w:rPr>
        <w:t>11 Industrial Cybersecurity &amp; Role-Based Access Control</w:t>
      </w:r>
      <w:r>
        <w:rPr>
          <w:rFonts w:ascii="Aptos" w:hAnsi="Aptos"/>
          <w:b/>
          <w:color w:val="007B8F"/>
          <w:sz w:val="20"/>
        </w:rPr>
        <w:tab/>
        <w:t>13</w:t>
      </w:r>
    </w:p>
    <w:p>
      <w:pPr>
        <w:keepNext w:val="0"/>
        <w:widowControl/>
        <w:tabs>
          <w:tab w:pos="8856" w:val="right"/>
        </w:tabs>
        <w:spacing w:before="0" w:after="40" w:line="240" w:lineRule="auto"/>
      </w:pPr>
      <w:r/>
      <w:r>
        <w:rPr>
          <w:rFonts w:ascii="Aptos" w:hAnsi="Aptos"/>
          <w:b w:val="0"/>
          <w:color w:val="005683"/>
          <w:sz w:val="20"/>
        </w:rPr>
        <w:t>12 Deployment Architecture &amp; Cloud Reliability</w:t>
      </w:r>
      <w:r>
        <w:rPr>
          <w:rFonts w:ascii="Aptos" w:hAnsi="Aptos"/>
          <w:b/>
          <w:color w:val="007B8F"/>
          <w:sz w:val="20"/>
        </w:rPr>
        <w:tab/>
        <w:t>14</w:t>
      </w:r>
    </w:p>
    <w:p>
      <w:pPr>
        <w:keepNext w:val="0"/>
        <w:widowControl/>
        <w:tabs>
          <w:tab w:pos="8856" w:val="right"/>
        </w:tabs>
        <w:spacing w:before="0" w:after="40" w:line="240" w:lineRule="auto"/>
      </w:pPr>
      <w:r/>
      <w:r>
        <w:rPr>
          <w:rFonts w:ascii="Aptos" w:hAnsi="Aptos"/>
          <w:b w:val="0"/>
          <w:color w:val="005683"/>
          <w:sz w:val="20"/>
        </w:rPr>
        <w:t>13 Factory (FAT) &amp; Site Acceptance Testing (SAT) Matrix</w:t>
      </w:r>
      <w:r>
        <w:rPr>
          <w:rFonts w:ascii="Aptos" w:hAnsi="Aptos"/>
          <w:b/>
          <w:color w:val="007B8F"/>
          <w:sz w:val="20"/>
        </w:rPr>
        <w:tab/>
        <w:t>15</w:t>
      </w:r>
    </w:p>
    <w:p>
      <w:pPr>
        <w:keepNext w:val="0"/>
        <w:widowControl/>
        <w:tabs>
          <w:tab w:pos="8856" w:val="right"/>
        </w:tabs>
        <w:spacing w:before="0" w:after="40" w:line="240" w:lineRule="auto"/>
      </w:pPr>
      <w:r/>
      <w:r>
        <w:rPr>
          <w:rFonts w:ascii="Aptos" w:hAnsi="Aptos"/>
          <w:b w:val="0"/>
          <w:color w:val="005683"/>
          <w:sz w:val="20"/>
        </w:rPr>
        <w:t>14 Maintenance, Diagnostics &amp; Troubleshooting Guide</w:t>
      </w:r>
      <w:r>
        <w:rPr>
          <w:rFonts w:ascii="Aptos" w:hAnsi="Aptos"/>
          <w:b/>
          <w:color w:val="007B8F"/>
          <w:sz w:val="20"/>
        </w:rPr>
        <w:tab/>
        <w:t>16</w:t>
      </w:r>
    </w:p>
    <w:p>
      <w:pPr>
        <w:keepNext w:val="0"/>
        <w:widowControl/>
        <w:tabs>
          <w:tab w:pos="8856" w:val="right"/>
        </w:tabs>
        <w:spacing w:before="0" w:after="40" w:line="240" w:lineRule="auto"/>
      </w:pPr>
      <w:r/>
      <w:r>
        <w:rPr>
          <w:rFonts w:ascii="Aptos" w:hAnsi="Aptos"/>
          <w:b w:val="0"/>
          <w:color w:val="005683"/>
          <w:sz w:val="20"/>
        </w:rPr>
        <w:t>15 Project Handover &amp; As-Built Documentation</w:t>
      </w:r>
      <w:r>
        <w:rPr>
          <w:rFonts w:ascii="Aptos" w:hAnsi="Aptos"/>
          <w:b/>
          <w:color w:val="007B8F"/>
          <w:sz w:val="20"/>
        </w:rPr>
        <w:tab/>
        <w:t>17</w:t>
      </w:r>
    </w:p>
    <w:p>
      <w:pPr>
        <w:keepNext w:val="0"/>
        <w:widowControl/>
        <w:tabs>
          <w:tab w:pos="8856" w:val="right"/>
        </w:tabs>
        <w:spacing w:before="0" w:after="40" w:line="240" w:lineRule="auto"/>
      </w:pPr>
      <w:r/>
      <w:r>
        <w:rPr>
          <w:rFonts w:ascii="Aptos" w:hAnsi="Aptos"/>
          <w:b w:val="0"/>
          <w:color w:val="005683"/>
          <w:sz w:val="20"/>
        </w:rPr>
        <w:t>Annexure A Module Capability Status &amp; Terminology</w:t>
      </w:r>
      <w:r>
        <w:rPr>
          <w:rFonts w:ascii="Aptos" w:hAnsi="Aptos"/>
          <w:b/>
          <w:color w:val="007B8F"/>
          <w:sz w:val="20"/>
        </w:rPr>
        <w:tab/>
        <w:t>18</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1 SYSTEM OVERVIEW</w:t>
      </w:r>
    </w:p>
    <w:p>
      <w:pPr>
        <w:keepNext w:val="0"/>
        <w:widowControl/>
        <w:spacing w:before="0" w:after="160" w:line="240" w:lineRule="auto"/>
      </w:pPr>
      <w:r/>
      <w:r>
        <w:rPr>
          <w:rFonts w:ascii="Aptos" w:hAnsi="Aptos"/>
          <w:b w:val="0"/>
          <w:color w:val="243C49"/>
          <w:sz w:val="21"/>
        </w:rPr>
        <w:t>Orbit Web SCADA provides a centralized, high-reliability supervisory monitoring platform across multi-stage municipal and industrial water networks. The system bridges geographically dispersed field automation with modern cloud and web technologies, enabling plant operators, engineers, and government project reviewers to oversee process health, investigate trends, acknowledge alarms, and extract shift reports from any authorized workstation or mobile device without installing client software.</w:t>
      </w:r>
    </w:p>
    <w:p>
      <w:pPr>
        <w:pStyle w:val="Heading2"/>
        <w:keepNext/>
        <w:pageBreakBefore w:val="0"/>
        <w:widowControl/>
        <w:spacing w:before="140" w:after="140" w:line="240" w:lineRule="auto"/>
        <w:ind w:left="0" w:right="0"/>
      </w:pPr>
      <w:r/>
      <w:r>
        <w:rPr>
          <w:rFonts w:ascii="Aptos" w:hAnsi="Aptos"/>
          <w:b/>
          <w:color w:val="007B8F"/>
          <w:sz w:val="25"/>
        </w:rPr>
        <w:t>1.1 Enterprise Application Scope</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Raw Water Intake Stations</w:t>
      </w:r>
      <w:r>
        <w:rPr>
          <w:rFonts w:ascii="Aptos" w:hAnsi="Aptos"/>
          <w:b w:val="0"/>
          <w:color w:val="243C49"/>
          <w:sz w:val="21"/>
        </w:rPr>
        <w:t xml:space="preserve">  Suction and delivery pressures (PT1, PT2), common main header pressure, intake sump level, instantaneous flow rate, bulk cumulative totalizer, and pressure-derived vertical turbine (VT) pump status.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Water Treatment Plants (WTP)</w:t>
      </w:r>
      <w:r>
        <w:rPr>
          <w:rFonts w:ascii="Aptos" w:hAnsi="Aptos"/>
          <w:b w:val="0"/>
          <w:color w:val="243C49"/>
          <w:sz w:val="21"/>
        </w:rPr>
        <w:t xml:space="preserve">  Backwash sump and clear water reservoir (CWR) levels, horizontal split-case (HT) pump pressures, common delivery header pressure, independent raw water inlet and treated water outlet flows and totalizers, and online water quality instrumentation (raw/treated pH, turbidity NTU, residual chlorine PPM, and temperature).</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Overhead Reservoirs (OHT) &amp; Distribution</w:t>
      </w:r>
      <w:r>
        <w:rPr>
          <w:rFonts w:ascii="Aptos" w:hAnsi="Aptos"/>
          <w:b w:val="0"/>
          <w:color w:val="243C49"/>
          <w:sz w:val="21"/>
        </w:rPr>
        <w:t xml:space="preserve">  Multi-zone elevated storage tanks, inlet distribution pressure, tank level percentage, inflow rate, cumulative totalizer, and virtual flow control valve (FCV) hydraulic interlock indication.</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Enterprise Central Services</w:t>
      </w:r>
      <w:r>
        <w:rPr>
          <w:rFonts w:ascii="Aptos" w:hAnsi="Aptos"/>
          <w:b w:val="0"/>
          <w:color w:val="243C49"/>
          <w:sz w:val="21"/>
        </w:rPr>
        <w:t xml:space="preserve">  High-frequency MQTT telemetry ingestion, multi-tier alarm management with audio-visual annunciation, interactive time-series trend analysis, durable cloud historian, automated Excel shift exports, and scheduled government GIS synchronization (MPGARUD).</w:t>
      </w:r>
    </w:p>
    <w:p>
      <w:pPr>
        <w:pStyle w:val="Heading2"/>
        <w:keepNext/>
        <w:pageBreakBefore w:val="0"/>
        <w:widowControl/>
        <w:spacing w:before="140" w:after="140" w:line="240" w:lineRule="auto"/>
        <w:ind w:left="0" w:right="0"/>
      </w:pPr>
      <w:r/>
      <w:r>
        <w:rPr>
          <w:rFonts w:ascii="Aptos" w:hAnsi="Aptos"/>
          <w:b/>
          <w:color w:val="007B8F"/>
          <w:sz w:val="25"/>
        </w:rPr>
        <w:t>1.2 User Profiles and Operational Roles</w:t>
      </w:r>
    </w:p>
    <w:p>
      <w:pPr>
        <w:keepNext w:val="0"/>
        <w:widowControl/>
        <w:spacing w:before="0" w:after="160" w:line="240" w:lineRule="auto"/>
      </w:pPr>
      <w:r/>
      <w:r>
        <w:rPr>
          <w:rFonts w:ascii="Aptos" w:hAnsi="Aptos"/>
          <w:b w:val="0"/>
          <w:color w:val="243C49"/>
          <w:sz w:val="21"/>
        </w:rPr>
        <w:t>The platform enforces strict role-based access. Control room operators use real-time animated mimics, alarm lists, and shift logs for daily plant supervision. Executive and plant engineers use statistical trends, telemetry freshness indicators, and historian tools to evaluate asset performance. Government authorities and client representatives review automated compliance reports and GIS transmission logs.</w:t>
      </w:r>
    </w:p>
    <w:p>
      <w:pPr>
        <w:pStyle w:val="Heading2"/>
        <w:keepNext/>
        <w:pageBreakBefore w:val="0"/>
        <w:widowControl/>
        <w:spacing w:before="140" w:after="140" w:line="240" w:lineRule="auto"/>
        <w:ind w:left="0" w:right="0"/>
      </w:pPr>
      <w:r/>
      <w:r>
        <w:rPr>
          <w:rFonts w:ascii="Aptos" w:hAnsi="Aptos"/>
          <w:b/>
          <w:color w:val="007B8F"/>
          <w:sz w:val="25"/>
        </w:rPr>
        <w:t>1.3 Industrial Control Boundary and Fail-Safe Architecture</w:t>
      </w:r>
    </w:p>
    <w:p>
      <w:pPr>
        <w:keepNext w:val="0"/>
        <w:widowControl/>
        <w:spacing w:before="0" w:after="160" w:line="240" w:lineRule="auto"/>
      </w:pPr>
      <w:r/>
      <w:r>
        <w:rPr>
          <w:rFonts w:ascii="Aptos" w:hAnsi="Aptos"/>
          <w:b w:val="0"/>
          <w:color w:val="243C49"/>
          <w:sz w:val="21"/>
        </w:rPr>
        <w:t>In compliance with industrial safety standards, Orbit Web SCADA enforces a rigorous separation between supervisory monitoring and local plant control. The web application does not execute open-loop remote start/stop commands, valve actuations, or write unprotected setpoints over the public cloud. All equipment permissives, motor trip sequences, interlocks, and emergency protections reside entirely within site PLCs.</w:t>
      </w:r>
    </w:p>
    <w:p>
      <w:pPr>
        <w:keepNext w:val="0"/>
        <w:widowControl/>
        <w:spacing w:before="0" w:after="160" w:line="240" w:lineRule="auto"/>
      </w:pPr>
      <w:r/>
      <w:r>
        <w:rPr>
          <w:rFonts w:ascii="Aptos" w:hAnsi="Aptos"/>
          <w:b w:val="0"/>
          <w:color w:val="243C49"/>
          <w:sz w:val="21"/>
        </w:rPr>
        <w:t>Dynamic P&amp;ID screen animations are real-time telemetry-driven visual representations designed to provide situational awareness. Pump running indications are derived from discharge pressure dynamics, and OHT valve indications are calculated using verified inflow interlocks. Neither animation replaces field electrical contactors or physical limit switches. Operators adhere to the approved local control philosophy for physical equipment control.</w:t>
      </w:r>
    </w:p>
    <w:p>
      <w:pPr>
        <w:pStyle w:val="Heading2"/>
        <w:keepNext/>
        <w:pageBreakBefore w:val="0"/>
        <w:widowControl/>
        <w:spacing w:before="140" w:after="140" w:line="240" w:lineRule="auto"/>
        <w:ind w:left="0" w:right="0"/>
      </w:pPr>
      <w:r/>
      <w:r>
        <w:rPr>
          <w:rFonts w:ascii="Aptos" w:hAnsi="Aptos"/>
          <w:b/>
          <w:color w:val="007B8F"/>
          <w:sz w:val="25"/>
        </w:rPr>
        <w:t>1.4 Standardized Configuration Governance</w:t>
      </w:r>
    </w:p>
    <w:p>
      <w:pPr>
        <w:keepNext w:val="0"/>
        <w:widowControl/>
        <w:spacing w:before="0" w:after="160" w:line="240" w:lineRule="auto"/>
      </w:pPr>
      <w:r/>
      <w:r>
        <w:rPr>
          <w:rFonts w:ascii="Aptos" w:hAnsi="Aptos"/>
          <w:b w:val="0"/>
          <w:color w:val="243C49"/>
          <w:sz w:val="21"/>
        </w:rPr>
        <w:t>Field instrumentation ranges, RTU payload mappings, alarm limits, data retention policies, and GIS submission endpoints form the controlled project configuration. This specification is used alongside approved tender I/O schedules, PLC logic backups, and site commissioning reports.</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2 INDUSTRIAL SCADA BENCHMARK: TRADITIONAL VS. ORBIT WEB SCADA</w:t>
      </w:r>
    </w:p>
    <w:p>
      <w:pPr>
        <w:keepNext w:val="0"/>
        <w:widowControl/>
        <w:spacing w:before="0" w:after="160" w:line="240" w:lineRule="auto"/>
      </w:pPr>
      <w:r/>
      <w:r>
        <w:rPr>
          <w:rFonts w:ascii="Aptos" w:hAnsi="Aptos"/>
          <w:b w:val="0"/>
          <w:color w:val="243C49"/>
          <w:sz w:val="21"/>
        </w:rPr>
        <w:t>Conventional industrial SCADA systems (such as Siemens WinCC, Wonderware InTouch, or RSView32) were engineered for isolated, local desktop workstations. Orbit Web SCADA preserves the core industrial rigour of conventional SCADA—deterministic telemetry, animated mimics, alarm priority annunciation, time-series historians, and fail-safe monitoring—while eliminating hardware lock-in and high licensing costs through modern cloud and web engineering.</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1627"/>
        <w:gridCol w:w="3168"/>
        <w:gridCol w:w="4234"/>
      </w:tblGrid>
      <w:tr>
        <w:trPr>
          <w:cantSplit/>
          <w:tblHeader/>
        </w:trPr>
        <w:tc>
          <w:tcPr>
            <w:tcW w:type="dxa" w:w="1627"/>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Architecture / Engineering Dimension</w:t>
            </w:r>
          </w:p>
        </w:tc>
        <w:tc>
          <w:tcPr>
            <w:tcW w:type="dxa" w:w="3168"/>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Conventional Desktop SCADA / Local HMI</w:t>
            </w:r>
          </w:p>
        </w:tc>
        <w:tc>
          <w:tcPr>
            <w:tcW w:type="dxa" w:w="4234"/>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Orbit Web SCADA (Next-Gen IoT Platform)</w:t>
            </w:r>
          </w:p>
        </w:tc>
      </w:tr>
      <w:tr>
        <w:trPr>
          <w:cantSplit/>
        </w:trPr>
        <w:tc>
          <w:tcPr>
            <w:tcW w:type="dxa" w:w="162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System Architecture &amp; Client Footprint</w:t>
            </w:r>
          </w:p>
        </w:tc>
        <w:tc>
          <w:tcPr>
            <w:tcW w:type="dxa" w:w="3168"/>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555555"/>
                <w:sz w:val="19"/>
              </w:rPr>
              <w:t>Thick-client desktop application locked to dedicated Windows PC; requires local runtime installs, drivers, and heavy RAM.</w:t>
            </w:r>
          </w:p>
        </w:tc>
        <w:tc>
          <w:tcPr>
            <w:tcW w:type="dxa" w:w="4234"/>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Zero-client Web-Native architecture; operates seamlessly in any modern browser (Chrome, Edge, Safari) across PCs, tablets, and phones.</w:t>
            </w:r>
          </w:p>
        </w:tc>
      </w:tr>
      <w:tr>
        <w:trPr>
          <w:cantSplit/>
        </w:trPr>
        <w:tc>
          <w:tcPr>
            <w:tcW w:type="dxa" w:w="162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Multi-Station &amp; Remote Licensing</w:t>
            </w:r>
          </w:p>
        </w:tc>
        <w:tc>
          <w:tcPr>
            <w:tcW w:type="dxa" w:w="316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555555"/>
                <w:sz w:val="19"/>
              </w:rPr>
              <w:t>Expensive per-seat runtime licensing and physical USB hardware dongles; remote access requires third-party TeamViewer/VNC.</w:t>
            </w:r>
          </w:p>
        </w:tc>
        <w:tc>
          <w:tcPr>
            <w:tcW w:type="dxa" w:w="4234"/>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Unlimited concurrent user sessions with role-based access; zero per-seat licensing fees; secure remote monitoring via native HTTPS.</w:t>
            </w:r>
          </w:p>
        </w:tc>
      </w:tr>
      <w:tr>
        <w:trPr>
          <w:cantSplit/>
        </w:trPr>
        <w:tc>
          <w:tcPr>
            <w:tcW w:type="dxa" w:w="162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Field Telemetry &amp; Network Infrastructure</w:t>
            </w:r>
          </w:p>
        </w:tc>
        <w:tc>
          <w:tcPr>
            <w:tcW w:type="dxa" w:w="3168"/>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555555"/>
                <w:sz w:val="19"/>
              </w:rPr>
              <w:t>Hardwired multi-core RS-485 serial cables, dedicated leased telephone lines, or optical fiber; costly installation.</w:t>
            </w:r>
          </w:p>
        </w:tc>
        <w:tc>
          <w:tcPr>
            <w:tcW w:type="dxa" w:w="4234"/>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Cellular IoT-Native: 4G/5G DTU gateways publish lightweight JSON over MQTT; automatic cellular reconnection and edge buffering.</w:t>
            </w:r>
          </w:p>
        </w:tc>
      </w:tr>
      <w:tr>
        <w:trPr>
          <w:cantSplit/>
        </w:trPr>
        <w:tc>
          <w:tcPr>
            <w:tcW w:type="dxa" w:w="162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Real-Time Streaming &amp; Visual Ergonomics</w:t>
            </w:r>
          </w:p>
        </w:tc>
        <w:tc>
          <w:tcPr>
            <w:tcW w:type="dxa" w:w="316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555555"/>
                <w:sz w:val="19"/>
              </w:rPr>
              <w:t>Static 2D graphics with rigid resolutions; screen redraw latency; complex multi-screen scaling.</w:t>
            </w:r>
          </w:p>
        </w:tc>
        <w:tc>
          <w:tcPr>
            <w:tcW w:type="dxa" w:w="4234"/>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Hardware-accelerated SVG animated P&amp;ID mimics; real-time WebSockets streaming; fully responsive across control room multi-monitors.</w:t>
            </w:r>
          </w:p>
        </w:tc>
      </w:tr>
      <w:tr>
        <w:trPr>
          <w:cantSplit/>
        </w:trPr>
        <w:tc>
          <w:tcPr>
            <w:tcW w:type="dxa" w:w="162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Historian &amp; Data Continuity</w:t>
            </w:r>
          </w:p>
        </w:tc>
        <w:tc>
          <w:tcPr>
            <w:tcW w:type="dxa" w:w="3168"/>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555555"/>
                <w:sz w:val="19"/>
              </w:rPr>
              <w:t>Local proprietary database stored on PC hard disk; severe data loss risk if PC freezes, crashes, or suffers power cut.</w:t>
            </w:r>
          </w:p>
        </w:tc>
        <w:tc>
          <w:tcPr>
            <w:tcW w:type="dxa" w:w="4234"/>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Durable Cloud PostgreSQL Historian; server-side workers log 24/7 in 5-minute atomic transactions even when all operator browsers are closed.</w:t>
            </w:r>
          </w:p>
        </w:tc>
      </w:tr>
      <w:tr>
        <w:trPr>
          <w:cantSplit/>
        </w:trPr>
        <w:tc>
          <w:tcPr>
            <w:tcW w:type="dxa" w:w="162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Supervisory Alarms &amp; Noise Suppression</w:t>
            </w:r>
          </w:p>
        </w:tc>
        <w:tc>
          <w:tcPr>
            <w:tcW w:type="dxa" w:w="316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555555"/>
                <w:sz w:val="19"/>
              </w:rPr>
              <w:t>Basic pop-up list with local sound buzzer; prone to alarm flooding during plant startup; basic acknowledgment.</w:t>
            </w:r>
          </w:p>
        </w:tc>
        <w:tc>
          <w:tcPr>
            <w:tcW w:type="dxa" w:w="4234"/>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Multi-tier priority alarms, sound/visual annunciation, 10-minute repeat suppression window, threshold debounce, and permanent user audit log.</w:t>
            </w:r>
          </w:p>
        </w:tc>
      </w:tr>
      <w:tr>
        <w:trPr>
          <w:cantSplit/>
        </w:trPr>
        <w:tc>
          <w:tcPr>
            <w:tcW w:type="dxa" w:w="162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Government GIS Compliance (MPGARUD)</w:t>
            </w:r>
          </w:p>
        </w:tc>
        <w:tc>
          <w:tcPr>
            <w:tcW w:type="dxa" w:w="3168"/>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555555"/>
                <w:sz w:val="19"/>
              </w:rPr>
              <w:t>No native government cloud sync; requires manual CSV extraction and custom third-party middleware.</w:t>
            </w:r>
          </w:p>
        </w:tc>
        <w:tc>
          <w:tcPr>
            <w:tcW w:type="dxa" w:w="4234"/>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Built-in automated MPGARUD / UADD API integration; scheduled hourly IST payload push with 15-minute freshness validation and receipt logging.</w:t>
            </w:r>
          </w:p>
        </w:tc>
      </w:tr>
      <w:tr>
        <w:trPr>
          <w:cantSplit/>
        </w:trPr>
        <w:tc>
          <w:tcPr>
            <w:tcW w:type="dxa" w:w="162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Reporting &amp; Consumption Analytics</w:t>
            </w:r>
          </w:p>
        </w:tc>
        <w:tc>
          <w:tcPr>
            <w:tcW w:type="dxa" w:w="316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555555"/>
                <w:sz w:val="19"/>
              </w:rPr>
              <w:t>Basic static tabular printing or complex third-party Crystal Reports; manual data compilation.</w:t>
            </w:r>
          </w:p>
        </w:tc>
        <w:tc>
          <w:tcPr>
            <w:tcW w:type="dxa" w:w="4234"/>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Instant 1-click formatted Excel (.xlsx) and CSV shift logs; automated daily/hourly consumption volume calculation and pump duty-cycle tracking.</w:t>
            </w:r>
          </w:p>
        </w:tc>
      </w:tr>
      <w:tr>
        <w:trPr>
          <w:cantSplit/>
        </w:trPr>
        <w:tc>
          <w:tcPr>
            <w:tcW w:type="dxa" w:w="162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Usability, Themes &amp; Custom Views</w:t>
            </w:r>
          </w:p>
        </w:tc>
        <w:tc>
          <w:tcPr>
            <w:tcW w:type="dxa" w:w="3168"/>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555555"/>
                <w:sz w:val="19"/>
              </w:rPr>
              <w:t>Monolithic, unalterable screen layout designed only for engineering monitors.</w:t>
            </w:r>
          </w:p>
        </w:tc>
        <w:tc>
          <w:tcPr>
            <w:tcW w:type="dxa" w:w="4234"/>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Modern adaptive UX: one-click Dark/Light SCADA themes; drag-and-drop customizable dashboard cards stored per workstation.</w:t>
            </w:r>
          </w:p>
        </w:tc>
      </w:tr>
      <w:tr>
        <w:trPr>
          <w:cantSplit/>
        </w:trPr>
        <w:tc>
          <w:tcPr>
            <w:tcW w:type="dxa" w:w="162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Industrial Cybersecurity &amp; Governance</w:t>
            </w:r>
          </w:p>
        </w:tc>
        <w:tc>
          <w:tcPr>
            <w:tcW w:type="dxa" w:w="316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555555"/>
                <w:sz w:val="19"/>
              </w:rPr>
              <w:t>Basic Windows OS credentials; vulnerable to local operator file manipulation or unauthorized USB access.</w:t>
            </w:r>
          </w:p>
        </w:tc>
        <w:tc>
          <w:tcPr>
            <w:tcW w:type="dxa" w:w="4234"/>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Enterprise Role-Based Access Control (Admin, Operator, Viewer), PostgreSQL Row-Level Security (RLS), isolated ingestion, and 12-hour session timeout.</w:t>
            </w:r>
          </w:p>
        </w:tc>
      </w:tr>
      <w:tr>
        <w:tc>
          <w:tcPr>
            <w:tcW w:type="dxa" w:w="1627"/>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Maintenance, Patches &amp; Commissioning</w:t>
            </w:r>
          </w:p>
        </w:tc>
        <w:tc>
          <w:tcPr>
            <w:tcW w:type="dxa" w:w="3168"/>
            <w:shd w:val="clear" w:color="auto" w:fill="FFFFFF"/>
            <w:tcMar>
              <w:top w:w="70" w:type="dxa"/>
              <w:bottom w:w="70" w:type="dxa"/>
              <w:left w:w="95" w:type="dxa"/>
              <w:right w:w="95" w:type="dxa"/>
            </w:tcMar>
          </w:tcPr>
          <w:p>
            <w:pPr>
              <w:jc w:val="left"/>
              <w:spacing w:before="0" w:after="0" w:line="240" w:lineRule="auto"/>
            </w:pPr>
            <w:r/>
            <w:r>
              <w:rPr>
                <w:rFonts w:ascii="Aptos" w:hAnsi="Aptos"/>
                <w:b w:val="0"/>
                <w:color w:val="555555"/>
                <w:sz w:val="19"/>
              </w:rPr>
              <w:t>Requires physical technician visit to every site PC for software updates, creating plant downtime.</w:t>
            </w:r>
          </w:p>
        </w:tc>
        <w:tc>
          <w:tcPr>
            <w:tcW w:type="dxa" w:w="4234"/>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Centralized cloud deployment; instant updates across all plant screens without interrupting field PLC operations.</w:t>
            </w:r>
          </w:p>
        </w:tc>
      </w:tr>
      <w:tr>
        <w:tc>
          <w:tcPr>
            <w:tcW w:type="dxa" w:w="1627"/>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Equipment Safety &amp; Control Philosophy</w:t>
            </w:r>
          </w:p>
        </w:tc>
        <w:tc>
          <w:tcPr>
            <w:tcW w:type="dxa" w:w="3168"/>
            <w:shd w:val="clear" w:color="auto" w:fill="F0F7F9"/>
            <w:tcMar>
              <w:top w:w="70" w:type="dxa"/>
              <w:bottom w:w="70" w:type="dxa"/>
              <w:left w:w="95" w:type="dxa"/>
              <w:right w:w="95" w:type="dxa"/>
            </w:tcMar>
          </w:tcPr>
          <w:p>
            <w:pPr>
              <w:jc w:val="left"/>
              <w:spacing w:before="0" w:after="0" w:line="240" w:lineRule="auto"/>
            </w:pPr>
            <w:r/>
            <w:r>
              <w:rPr>
                <w:rFonts w:ascii="Aptos" w:hAnsi="Aptos"/>
                <w:b w:val="0"/>
                <w:color w:val="555555"/>
                <w:sz w:val="19"/>
              </w:rPr>
              <w:t>Often mixes unverified remote writes over insecure links, creating dangerous plant hazards.</w:t>
            </w:r>
          </w:p>
        </w:tc>
        <w:tc>
          <w:tcPr>
            <w:tcW w:type="dxa" w:w="4234"/>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Fail-safe architecture: local PLC logic autonomously handles all interlocks, motor permissives, and emergency trips; SCADA focuses on supervisory intelligence.</w:t>
            </w:r>
          </w:p>
        </w:tc>
      </w:tr>
    </w:tbl>
    <w:p>
      <w:pPr>
        <w:keepNext w:val="0"/>
        <w:widowControl/>
        <w:spacing w:before="0" w:after="100" w:line="240" w:lineRule="auto"/>
      </w:pPr>
    </w:p>
    <w:p>
      <w:pPr>
        <w:pStyle w:val="Heading2"/>
        <w:keepNext/>
        <w:pageBreakBefore w:val="0"/>
        <w:widowControl/>
        <w:spacing w:before="140" w:after="140" w:line="240" w:lineRule="auto"/>
        <w:ind w:left="0" w:right="0"/>
      </w:pPr>
      <w:r/>
      <w:r>
        <w:rPr>
          <w:rFonts w:ascii="Aptos" w:hAnsi="Aptos"/>
          <w:b/>
          <w:color w:val="007B8F"/>
          <w:sz w:val="25"/>
        </w:rPr>
        <w:t>2.1 Enterprise Value and Operational Impact</w:t>
      </w:r>
    </w:p>
    <w:p>
      <w:pPr>
        <w:keepNext w:val="0"/>
        <w:widowControl/>
        <w:spacing w:before="0" w:after="160" w:line="240" w:lineRule="auto"/>
      </w:pPr>
      <w:r/>
      <w:r>
        <w:rPr>
          <w:rFonts w:ascii="Aptos" w:hAnsi="Aptos"/>
          <w:b w:val="0"/>
          <w:color w:val="243C49"/>
          <w:sz w:val="21"/>
        </w:rPr>
        <w:t>By decoupling supervisory visualization from expensive local PC hardware, Orbit Web SCADA enables ubiquitous plant oversight across administrative offices, mobile maintenance teams, and government dashboards. Continuous cloud collection operates independently of client browsers, preventing telemetry loss during local workstation reboots.</w:t>
      </w:r>
    </w:p>
    <w:p>
      <w:pPr>
        <w:keepNext w:val="0"/>
        <w:widowControl/>
        <w:spacing w:before="0" w:after="160" w:line="240" w:lineRule="auto"/>
      </w:pPr>
      <w:r/>
      <w:r>
        <w:rPr>
          <w:rFonts w:ascii="Aptos" w:hAnsi="Aptos"/>
          <w:b w:val="0"/>
          <w:color w:val="243C49"/>
          <w:sz w:val="21"/>
        </w:rPr>
        <w:t>The platform delivers enterprise scalability across multi-site utility fleets while maintaining field-tested reliability, standardized MQTT edge protocols, and verifiable government compliance.</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3 END-TO-END SYSTEM ARCHITECTURE</w:t>
      </w:r>
    </w:p>
    <w:p>
      <w:pPr>
        <w:keepNext w:val="0"/>
        <w:widowControl/>
        <w:spacing w:before="0" w:after="160" w:line="240" w:lineRule="auto"/>
      </w:pPr>
      <w:r/>
      <w:r>
        <w:rPr>
          <w:rFonts w:ascii="Aptos" w:hAnsi="Aptos"/>
          <w:b w:val="0"/>
          <w:color w:val="243C49"/>
          <w:sz w:val="21"/>
        </w:rPr>
        <w:t>Field instruments connect directly to site PLCs or RTU modules. Communication gateways acquire field data via Modbus RTU/TCP and publish lightweight JSON packets over cellular networks to a secure MQTT message broker. Cloud workers process, validate, and store records in a durable PostgreSQL database, serving the real-time React web application and external government endpoints.</w:t>
      </w:r>
    </w:p>
    <w:p>
      <w:pPr>
        <w:spacing w:after="160"/>
      </w:pPr>
      <w:r>
        <w:rPr>
          <w:color w:val="243C49"/>
        </w:rPr>
        <w:drawing>
          <wp:inline xmlns:a="http://schemas.openxmlformats.org/drawingml/2006/main" xmlns:pic="http://schemas.openxmlformats.org/drawingml/2006/picture">
            <wp:extent cx="5733288" cy="2930347"/>
            <wp:docPr id="1" name="Picture 1" descr="Primary telemetry architecture from field instruments and local PLC through MQTT and server collection to database, browser, reports and MPGARUD GIS."/>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33288" cy="2930347"/>
                    </a:xfrm>
                    <a:prstGeom prst="rect"/>
                  </pic:spPr>
                </pic:pic>
              </a:graphicData>
            </a:graphic>
          </wp:inline>
        </w:drawing>
      </w:r>
    </w:p>
    <w:p>
      <w:pPr>
        <w:keepNext w:val="0"/>
        <w:widowControl/>
        <w:spacing w:before="0" w:after="200" w:line="240" w:lineRule="auto"/>
        <w:jc w:val="center"/>
      </w:pPr>
      <w:r/>
      <w:r>
        <w:rPr>
          <w:rFonts w:ascii="Aptos" w:hAnsi="Aptos"/>
          <w:b/>
          <w:color w:val="005683"/>
          <w:sz w:val="20"/>
        </w:rPr>
        <w:t>Figure 1  Primary telemetry and reporting architecture</w:t>
      </w:r>
    </w:p>
    <w:p>
      <w:pPr>
        <w:pStyle w:val="Heading2"/>
        <w:keepNext/>
        <w:pageBreakBefore w:val="0"/>
        <w:widowControl/>
        <w:spacing w:before="140" w:after="140" w:line="240" w:lineRule="auto"/>
        <w:ind w:left="0" w:right="0"/>
      </w:pPr>
      <w:r/>
      <w:r>
        <w:rPr>
          <w:rFonts w:ascii="Aptos" w:hAnsi="Aptos"/>
          <w:b/>
          <w:color w:val="007B8F"/>
          <w:sz w:val="25"/>
        </w:rPr>
        <w:t>3.1 Multi-Tier Architecture Stack</w:t>
      </w:r>
    </w:p>
    <w:p>
      <w:pPr>
        <w:keepNext w:val="0"/>
        <w:widowControl/>
        <w:spacing w:before="0" w:after="160" w:line="240" w:lineRule="auto"/>
      </w:pPr>
      <w:r/>
      <w:r>
        <w:rPr>
          <w:rFonts w:ascii="Aptos" w:hAnsi="Aptos"/>
          <w:b/>
          <w:color w:val="007B8F"/>
          <w:sz w:val="21"/>
        </w:rPr>
        <w:t xml:space="preserve">•  </w:t>
      </w:r>
      <w:r>
        <w:rPr>
          <w:rFonts w:ascii="Aptos" w:hAnsi="Aptos"/>
          <w:b/>
          <w:color w:val="005683"/>
          <w:sz w:val="21"/>
        </w:rPr>
        <w:t>Presentation Tier (Web SCADA)</w:t>
      </w:r>
      <w:r>
        <w:rPr>
          <w:rFonts w:ascii="Aptos" w:hAnsi="Aptos"/>
          <w:b w:val="0"/>
          <w:color w:val="243C49"/>
          <w:sz w:val="21"/>
        </w:rPr>
        <w:t xml:space="preserve">  React 18 and TypeScript provide high-speed, hardware-accelerated animated P&amp;ID mimics, responsive instrument cards, interactive Recharts analytics, and alarm management across all standard modern browsers (Chrome, Edge, Safari, Firefox).</w:t>
      </w:r>
    </w:p>
    <w:p>
      <w:pPr>
        <w:keepNext w:val="0"/>
        <w:widowControl/>
        <w:spacing w:before="0" w:after="160" w:line="240" w:lineRule="auto"/>
      </w:pPr>
      <w:r/>
      <w:r>
        <w:rPr>
          <w:rFonts w:ascii="Aptos" w:hAnsi="Aptos"/>
          <w:b/>
          <w:color w:val="007B8F"/>
          <w:sz w:val="21"/>
        </w:rPr>
        <w:t xml:space="preserve">•  </w:t>
      </w:r>
      <w:r>
        <w:rPr>
          <w:rFonts w:ascii="Aptos" w:hAnsi="Aptos"/>
          <w:b/>
          <w:color w:val="005683"/>
          <w:sz w:val="21"/>
        </w:rPr>
        <w:t>Data &amp; Ingestion Tier (Supabase PostgreSQL)</w:t>
      </w:r>
      <w:r>
        <w:rPr>
          <w:rFonts w:ascii="Aptos" w:hAnsi="Aptos"/>
          <w:b w:val="0"/>
          <w:color w:val="243C49"/>
          <w:sz w:val="21"/>
        </w:rPr>
        <w:t xml:space="preserve">  Enterprise PostgreSQL engine providing durable time-series storage, row-level security (RLS), real-time WebSockets subscriptions, and scheduled background workers for 5-minute bucketing, alarm checks, and daily aggregations.</w:t>
      </w:r>
    </w:p>
    <w:p>
      <w:pPr>
        <w:keepNext w:val="0"/>
        <w:widowControl/>
        <w:spacing w:before="0" w:after="160" w:line="240" w:lineRule="auto"/>
      </w:pPr>
      <w:r/>
      <w:r>
        <w:rPr>
          <w:rFonts w:ascii="Aptos" w:hAnsi="Aptos"/>
          <w:b/>
          <w:color w:val="007B8F"/>
          <w:sz w:val="21"/>
        </w:rPr>
        <w:t xml:space="preserve">•  </w:t>
      </w:r>
      <w:r>
        <w:rPr>
          <w:rFonts w:ascii="Aptos" w:hAnsi="Aptos"/>
          <w:b/>
          <w:color w:val="005683"/>
          <w:sz w:val="21"/>
        </w:rPr>
        <w:t>Edge &amp; External Interfaces</w:t>
      </w:r>
      <w:r>
        <w:rPr>
          <w:rFonts w:ascii="Aptos" w:hAnsi="Aptos"/>
          <w:b w:val="0"/>
          <w:color w:val="243C49"/>
          <w:sz w:val="21"/>
        </w:rPr>
        <w:t xml:space="preserve">  4G/5G DTU gateways publish telemetry via MQTT brokers using QoS and keep-alive heartbeats. Dedicated background workers format and deliver compliant JSON payloads to the MPGARUD government GIS portal.</w:t>
      </w:r>
    </w:p>
    <w:p>
      <w:pPr>
        <w:keepNext w:val="0"/>
        <w:widowControl/>
        <w:spacing w:before="0" w:after="160" w:line="240" w:lineRule="auto"/>
      </w:pPr>
      <w:r/>
      <w:r>
        <w:rPr>
          <w:rFonts w:ascii="Aptos" w:hAnsi="Aptos"/>
          <w:b w:val="0"/>
          <w:color w:val="243C49"/>
          <w:sz w:val="21"/>
        </w:rPr>
        <w:t>The architecture supports hybrid data paths: direct browser MQTT subscription for low-latency live streaming when network conditions permit, backed by an automatic cloud polling fallback ensuring continuous data availability.</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4 INDUSTRIAL WATER DOMAIN &amp; INSTRUMENTATION TAG MODEL</w:t>
      </w:r>
    </w:p>
    <w:p>
      <w:pPr>
        <w:keepNext w:val="0"/>
        <w:widowControl/>
        <w:spacing w:before="0" w:after="160" w:line="240" w:lineRule="auto"/>
      </w:pPr>
      <w:r/>
      <w:r>
        <w:rPr>
          <w:rFonts w:ascii="Aptos" w:hAnsi="Aptos"/>
          <w:b w:val="0"/>
          <w:color w:val="243C49"/>
          <w:sz w:val="21"/>
        </w:rPr>
        <w:t>A standardized tag model governs all water infrastructure assets across Orbit projects. Tags uniquely define process station, physical measurement, engineering units, calibration span, and alarming limits. The schedule below details the universal domain model, benchmarked against the live Mohgaon installation.</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1440"/>
        <w:gridCol w:w="5299"/>
        <w:gridCol w:w="2290"/>
      </w:tblGrid>
      <w:tr>
        <w:trPr>
          <w:cantSplit/>
          <w:tblHeader/>
        </w:trPr>
        <w:tc>
          <w:tcPr>
            <w:tcW w:type="dxa" w:w="1440"/>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Process Station / Area</w:t>
            </w:r>
          </w:p>
        </w:tc>
        <w:tc>
          <w:tcPr>
            <w:tcW w:type="dxa" w:w="5299"/>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Instrumentation &amp; Process Parameters</w:t>
            </w:r>
          </w:p>
        </w:tc>
        <w:tc>
          <w:tcPr>
            <w:tcW w:type="dxa" w:w="2290"/>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Engineering Units</w:t>
            </w:r>
          </w:p>
        </w:tc>
      </w:tr>
      <w:tr>
        <w:trPr>
          <w:cantSplit/>
        </w:trPr>
        <w:tc>
          <w:tcPr>
            <w:tcW w:type="dxa" w:w="144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Raw Water Intake</w:t>
            </w:r>
          </w:p>
        </w:tc>
        <w:tc>
          <w:tcPr>
            <w:tcW w:type="dxa" w:w="529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Pump discharge pressures (PT1, PT2), Common delivery header pressure (PT3)</w:t>
            </w:r>
          </w:p>
        </w:tc>
        <w:tc>
          <w:tcPr>
            <w:tcW w:type="dxa" w:w="229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007B8F"/>
                <w:sz w:val="19"/>
              </w:rPr>
              <w:t>bar</w:t>
            </w:r>
          </w:p>
        </w:tc>
      </w:tr>
      <w:tr>
        <w:trPr>
          <w:cantSplit/>
        </w:trPr>
        <w:tc>
          <w:tcPr>
            <w:tcW w:type="dxa" w:w="144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Raw Water Intake</w:t>
            </w:r>
          </w:p>
        </w:tc>
        <w:tc>
          <w:tcPr>
            <w:tcW w:type="dxa" w:w="529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Intake well water level (RLT), Raw water delivery flow rate, Bulk cumulative totalizer</w:t>
            </w:r>
          </w:p>
        </w:tc>
        <w:tc>
          <w:tcPr>
            <w:tcW w:type="dxa" w:w="229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007B8F"/>
                <w:sz w:val="19"/>
              </w:rPr>
              <w:t>%, m³/hr, m³</w:t>
            </w:r>
          </w:p>
        </w:tc>
      </w:tr>
      <w:tr>
        <w:trPr>
          <w:cantSplit/>
        </w:trPr>
        <w:tc>
          <w:tcPr>
            <w:tcW w:type="dxa" w:w="144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Raw Water Intake</w:t>
            </w:r>
          </w:p>
        </w:tc>
        <w:tc>
          <w:tcPr>
            <w:tcW w:type="dxa" w:w="529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Vertical Turbine (VT) Pumps 1 &amp; 2 operational running feedback</w:t>
            </w:r>
          </w:p>
        </w:tc>
        <w:tc>
          <w:tcPr>
            <w:tcW w:type="dxa" w:w="229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007B8F"/>
                <w:sz w:val="19"/>
              </w:rPr>
              <w:t>Inferred ON / OFF (from PT)</w:t>
            </w:r>
          </w:p>
        </w:tc>
      </w:tr>
      <w:tr>
        <w:trPr>
          <w:cantSplit/>
        </w:trPr>
        <w:tc>
          <w:tcPr>
            <w:tcW w:type="dxa" w:w="144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Water Treatment Plant (WTP)</w:t>
            </w:r>
          </w:p>
        </w:tc>
        <w:tc>
          <w:tcPr>
            <w:tcW w:type="dxa" w:w="529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Backwash reservoir level (BW_LT), Clear water reservoir level (CWR_LT)</w:t>
            </w:r>
          </w:p>
        </w:tc>
        <w:tc>
          <w:tcPr>
            <w:tcW w:type="dxa" w:w="229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007B8F"/>
                <w:sz w:val="19"/>
              </w:rPr>
              <w:t>%</w:t>
            </w:r>
          </w:p>
        </w:tc>
      </w:tr>
      <w:tr>
        <w:trPr>
          <w:cantSplit/>
        </w:trPr>
        <w:tc>
          <w:tcPr>
            <w:tcW w:type="dxa" w:w="144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Water Treatment Plant (WTP)</w:t>
            </w:r>
          </w:p>
        </w:tc>
        <w:tc>
          <w:tcPr>
            <w:tcW w:type="dxa" w:w="529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HT pump delivery pressures (PT1, PT2), Common distribution header pressure (PT3)</w:t>
            </w:r>
          </w:p>
        </w:tc>
        <w:tc>
          <w:tcPr>
            <w:tcW w:type="dxa" w:w="229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007B8F"/>
                <w:sz w:val="19"/>
              </w:rPr>
              <w:t>bar</w:t>
            </w:r>
          </w:p>
        </w:tc>
      </w:tr>
      <w:tr>
        <w:trPr>
          <w:cantSplit/>
        </w:trPr>
        <w:tc>
          <w:tcPr>
            <w:tcW w:type="dxa" w:w="144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Water Treatment Plant (WTP)</w:t>
            </w:r>
          </w:p>
        </w:tc>
        <w:tc>
          <w:tcPr>
            <w:tcW w:type="dxa" w:w="529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Independent raw water inlet flow (RAW_EFM_FLOW) and cumulative totalizer (RAW_EFM)</w:t>
            </w:r>
          </w:p>
        </w:tc>
        <w:tc>
          <w:tcPr>
            <w:tcW w:type="dxa" w:w="229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007B8F"/>
                <w:sz w:val="19"/>
              </w:rPr>
              <w:t>m³/hr, m³</w:t>
            </w:r>
          </w:p>
        </w:tc>
      </w:tr>
      <w:tr>
        <w:trPr>
          <w:cantSplit/>
        </w:trPr>
        <w:tc>
          <w:tcPr>
            <w:tcW w:type="dxa" w:w="144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Water Treatment Plant (WTP)</w:t>
            </w:r>
          </w:p>
        </w:tc>
        <w:tc>
          <w:tcPr>
            <w:tcW w:type="dxa" w:w="529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Independent treated water outlet flow (CLR_EFM_FLOW) and cumulative totalizer (CLR_EFM)</w:t>
            </w:r>
          </w:p>
        </w:tc>
        <w:tc>
          <w:tcPr>
            <w:tcW w:type="dxa" w:w="229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007B8F"/>
                <w:sz w:val="19"/>
              </w:rPr>
              <w:t>m³/hr, m³</w:t>
            </w:r>
          </w:p>
        </w:tc>
      </w:tr>
      <w:tr>
        <w:trPr>
          <w:cantSplit/>
        </w:trPr>
        <w:tc>
          <w:tcPr>
            <w:tcW w:type="dxa" w:w="144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Water Quality Analyzers</w:t>
            </w:r>
          </w:p>
        </w:tc>
        <w:tc>
          <w:tcPr>
            <w:tcW w:type="dxa" w:w="529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Inlet &amp; outlet online pH analyzers (RW_PH, CWR_PH), Raw &amp; treated turbidity (RW_TB, CWR_TB)</w:t>
            </w:r>
          </w:p>
        </w:tc>
        <w:tc>
          <w:tcPr>
            <w:tcW w:type="dxa" w:w="229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007B8F"/>
                <w:sz w:val="19"/>
              </w:rPr>
              <w:t>pH, NTU</w:t>
            </w:r>
          </w:p>
        </w:tc>
      </w:tr>
      <w:tr>
        <w:trPr>
          <w:cantSplit/>
        </w:trPr>
        <w:tc>
          <w:tcPr>
            <w:tcW w:type="dxa" w:w="144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Water Quality Analyzers</w:t>
            </w:r>
          </w:p>
        </w:tc>
        <w:tc>
          <w:tcPr>
            <w:tcW w:type="dxa" w:w="529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Treated clear water residual chlorine analyzer (CWR_CL), Water temperature (CWR_TEM)</w:t>
            </w:r>
          </w:p>
        </w:tc>
        <w:tc>
          <w:tcPr>
            <w:tcW w:type="dxa" w:w="229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007B8F"/>
                <w:sz w:val="19"/>
              </w:rPr>
              <w:t>PPM, °C</w:t>
            </w:r>
          </w:p>
        </w:tc>
      </w:tr>
      <w:tr>
        <w:trPr>
          <w:cantSplit/>
        </w:trPr>
        <w:tc>
          <w:tcPr>
            <w:tcW w:type="dxa" w:w="144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Water Treatment Plant (WTP)</w:t>
            </w:r>
          </w:p>
        </w:tc>
        <w:tc>
          <w:tcPr>
            <w:tcW w:type="dxa" w:w="529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Horizontal Split-Case (HT) Pumps 1 &amp; 2 operational running feedback</w:t>
            </w:r>
          </w:p>
        </w:tc>
        <w:tc>
          <w:tcPr>
            <w:tcW w:type="dxa" w:w="229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007B8F"/>
                <w:sz w:val="19"/>
              </w:rPr>
              <w:t>Inferred ON / OFF (from PT)</w:t>
            </w:r>
          </w:p>
        </w:tc>
      </w:tr>
      <w:tr>
        <w:trPr>
          <w:cantSplit/>
        </w:trPr>
        <w:tc>
          <w:tcPr>
            <w:tcW w:type="dxa" w:w="144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Overhead Reservoirs (OHT 1-4)</w:t>
            </w:r>
          </w:p>
        </w:tc>
        <w:tc>
          <w:tcPr>
            <w:tcW w:type="dxa" w:w="529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Inlet delivery pressure (PT), Reservoir liquid level (LT), Inflow rate (FLOW), Totalizer (TOT)</w:t>
            </w:r>
          </w:p>
        </w:tc>
        <w:tc>
          <w:tcPr>
            <w:tcW w:type="dxa" w:w="229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007B8F"/>
                <w:sz w:val="19"/>
              </w:rPr>
              <w:t>bar, %, m³/hr, m³</w:t>
            </w:r>
          </w:p>
        </w:tc>
      </w:tr>
      <w:tr>
        <w:tc>
          <w:tcPr>
            <w:tcW w:type="dxa" w:w="1440"/>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Overhead Reservoirs (OHT 1-4)</w:t>
            </w:r>
          </w:p>
        </w:tc>
        <w:tc>
          <w:tcPr>
            <w:tcW w:type="dxa" w:w="5299"/>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Virtual Flow Control Valve (FCV) and confirmed water inflow dynamic animation</w:t>
            </w:r>
          </w:p>
        </w:tc>
        <w:tc>
          <w:tcPr>
            <w:tcW w:type="dxa" w:w="2290"/>
            <w:shd w:val="clear" w:color="auto" w:fill="F0F7F9"/>
            <w:tcMar>
              <w:top w:w="70" w:type="dxa"/>
              <w:bottom w:w="70" w:type="dxa"/>
              <w:left w:w="95" w:type="dxa"/>
              <w:right w:w="95" w:type="dxa"/>
            </w:tcMar>
          </w:tcPr>
          <w:p>
            <w:pPr>
              <w:jc w:val="left"/>
              <w:spacing w:before="0" w:after="0" w:line="240" w:lineRule="auto"/>
            </w:pPr>
            <w:r/>
            <w:r>
              <w:rPr>
                <w:rFonts w:ascii="Aptos" w:hAnsi="Aptos"/>
                <w:b w:val="0"/>
                <w:color w:val="007B8F"/>
                <w:sz w:val="19"/>
              </w:rPr>
              <w:t>Calculated OPEN / CLOSED</w:t>
            </w:r>
          </w:p>
        </w:tc>
      </w:tr>
    </w:tbl>
    <w:p>
      <w:pPr>
        <w:keepNext w:val="0"/>
        <w:widowControl/>
        <w:spacing w:before="0" w:after="100" w:line="240" w:lineRule="auto"/>
      </w:pPr>
    </w:p>
    <w:p>
      <w:pPr>
        <w:pStyle w:val="Heading2"/>
        <w:keepNext/>
        <w:pageBreakBefore w:val="0"/>
        <w:widowControl/>
        <w:spacing w:before="140" w:after="140" w:line="240" w:lineRule="auto"/>
        <w:ind w:left="0" w:right="0"/>
      </w:pPr>
      <w:r/>
      <w:r>
        <w:rPr>
          <w:rFonts w:ascii="Aptos" w:hAnsi="Aptos"/>
          <w:b/>
          <w:color w:val="007B8F"/>
          <w:sz w:val="25"/>
        </w:rPr>
        <w:t>4.1 Direct Measurements and Virtual Indicators</w:t>
      </w:r>
    </w:p>
    <w:p>
      <w:pPr>
        <w:keepNext w:val="0"/>
        <w:widowControl/>
        <w:spacing w:before="0" w:after="160" w:line="240" w:lineRule="auto"/>
      </w:pPr>
      <w:r/>
      <w:r>
        <w:rPr>
          <w:rFonts w:ascii="Aptos" w:hAnsi="Aptos"/>
          <w:b w:val="0"/>
          <w:color w:val="243C49"/>
          <w:sz w:val="21"/>
        </w:rPr>
        <w:t>All analog variables (pressures, levels, flow rates) and cumulative volumes are mapped directly from RTU payload registers. To provide operational clarity without requiring expensive auxiliary contact wiring, virtual indicators are calculated: VT/HT pump running states are derived from discharge pressure thresholds (typically &gt; 1.5 bar), and OHT inflow states are determined via triple-interlocked flow, pressure, and volume integration.</w:t>
      </w:r>
    </w:p>
    <w:p>
      <w:pPr>
        <w:pStyle w:val="Heading2"/>
        <w:keepNext/>
        <w:pageBreakBefore w:val="0"/>
        <w:widowControl/>
        <w:spacing w:before="140" w:after="140" w:line="240" w:lineRule="auto"/>
        <w:ind w:left="0" w:right="0"/>
      </w:pPr>
      <w:r/>
      <w:r>
        <w:rPr>
          <w:rFonts w:ascii="Aptos" w:hAnsi="Aptos"/>
          <w:b/>
          <w:color w:val="007B8F"/>
          <w:sz w:val="25"/>
        </w:rPr>
        <w:t>4.2 Future Expansion and Modular Instrumentation</w:t>
      </w:r>
    </w:p>
    <w:p>
      <w:pPr>
        <w:keepNext w:val="0"/>
        <w:widowControl/>
        <w:spacing w:before="0" w:after="160" w:line="240" w:lineRule="auto"/>
      </w:pPr>
      <w:r/>
      <w:r>
        <w:rPr>
          <w:rFonts w:ascii="Aptos" w:hAnsi="Aptos"/>
          <w:b w:val="0"/>
          <w:color w:val="243C49"/>
          <w:sz w:val="21"/>
        </w:rPr>
        <w:t>The architecture includes standardized placeholder mappings for electrical energy meters (MFM: kW, kWh, Power Factor) and additional standby pumps. Channels not physically installed at a specific site are flagged in software to prevent erroneous alarms or acceptance calculations.</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5 TELEMETRY, PROTOCOL &amp; INDUSTRIAL DATA QUALITY</w:t>
      </w:r>
    </w:p>
    <w:p>
      <w:pPr>
        <w:keepNext w:val="0"/>
        <w:widowControl/>
        <w:spacing w:before="0" w:after="160" w:line="240" w:lineRule="auto"/>
      </w:pPr>
      <w:r/>
      <w:r>
        <w:rPr>
          <w:rFonts w:ascii="Aptos" w:hAnsi="Aptos"/>
          <w:b w:val="0"/>
          <w:color w:val="243C49"/>
          <w:sz w:val="21"/>
        </w:rPr>
        <w:t>Industrial telemetry requires rigorous data provenance. Telemetry quality is evaluated by value validity, engineering boundaries, communication age, and packet provenance. Orbit Web SCADA tracks server receive timestamps independently of historian bucket timestamps to guarantee complete temporal transparency.</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1872"/>
        <w:gridCol w:w="3888"/>
        <w:gridCol w:w="3269"/>
      </w:tblGrid>
      <w:tr>
        <w:trPr>
          <w:cantSplit/>
          <w:tblHeader/>
        </w:trPr>
        <w:tc>
          <w:tcPr>
            <w:tcW w:type="dxa" w:w="1872"/>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Data Quality Condition</w:t>
            </w:r>
          </w:p>
        </w:tc>
        <w:tc>
          <w:tcPr>
            <w:tcW w:type="dxa" w:w="3888"/>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Engineering Interpretation</w:t>
            </w:r>
          </w:p>
        </w:tc>
        <w:tc>
          <w:tcPr>
            <w:tcW w:type="dxa" w:w="3269"/>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Operator &amp; System Response</w:t>
            </w:r>
          </w:p>
        </w:tc>
      </w:tr>
      <w:tr>
        <w:trPr>
          <w:cantSplit/>
        </w:trPr>
        <w:tc>
          <w:tcPr>
            <w:tcW w:type="dxa" w:w="187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Fresh Valid Reading</w:t>
            </w:r>
          </w:p>
        </w:tc>
        <w:tc>
          <w:tcPr>
            <w:tcW w:type="dxa" w:w="3888"/>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Telemetry timestamp within the active 5-minute freshness window; reading within calibration limits.</w:t>
            </w:r>
          </w:p>
        </w:tc>
        <w:tc>
          <w:tcPr>
            <w:tcW w:type="dxa" w:w="326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Process parameters actively monitored; animated mimics live; normal logging.</w:t>
            </w:r>
          </w:p>
        </w:tc>
      </w:tr>
      <w:tr>
        <w:trPr>
          <w:cantSplit/>
        </w:trPr>
        <w:tc>
          <w:tcPr>
            <w:tcW w:type="dxa" w:w="187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Valid Zero</w:t>
            </w:r>
          </w:p>
        </w:tc>
        <w:tc>
          <w:tcPr>
            <w:tcW w:type="dxa" w:w="388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Legitimate zero measurement (e.g. 0.0 bar when pump is stopped, 0 m³/hr when valve is closed).</w:t>
            </w:r>
          </w:p>
        </w:tc>
        <w:tc>
          <w:tcPr>
            <w:tcW w:type="dxa" w:w="326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Confirmed normal zero condition; distinguished from communication disconnection.</w:t>
            </w:r>
          </w:p>
        </w:tc>
      </w:tr>
      <w:tr>
        <w:trPr>
          <w:cantSplit/>
        </w:trPr>
        <w:tc>
          <w:tcPr>
            <w:tcW w:type="dxa" w:w="187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Delayed Telemetry</w:t>
            </w:r>
          </w:p>
        </w:tc>
        <w:tc>
          <w:tcPr>
            <w:tcW w:type="dxa" w:w="3888"/>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Last received packet timestamp between 5 and 15 minutes old due to cellular network latency.</w:t>
            </w:r>
          </w:p>
        </w:tc>
        <w:tc>
          <w:tcPr>
            <w:tcW w:type="dxa" w:w="326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Amber diagnostic badge displayed; operators verify carrier status before relying on data.</w:t>
            </w:r>
          </w:p>
        </w:tc>
      </w:tr>
      <w:tr>
        <w:trPr>
          <w:cantSplit/>
        </w:trPr>
        <w:tc>
          <w:tcPr>
            <w:tcW w:type="dxa" w:w="187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No Data / Offline</w:t>
            </w:r>
          </w:p>
        </w:tc>
        <w:tc>
          <w:tcPr>
            <w:tcW w:type="dxa" w:w="388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No telemetry received for over 15 minutes; communication link interrupted.</w:t>
            </w:r>
          </w:p>
        </w:tc>
        <w:tc>
          <w:tcPr>
            <w:tcW w:type="dxa" w:w="326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Red Offline status badge displayed; link failure alarm annunciated; maintenance team alerted.</w:t>
            </w:r>
          </w:p>
        </w:tc>
      </w:tr>
      <w:tr>
        <w:trPr>
          <w:cantSplit/>
        </w:trPr>
        <w:tc>
          <w:tcPr>
            <w:tcW w:type="dxa" w:w="187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Sensor Fault / Out of Bounds</w:t>
            </w:r>
          </w:p>
        </w:tc>
        <w:tc>
          <w:tcPr>
            <w:tcW w:type="dxa" w:w="3888"/>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Signal reading falls outside calibrated transmitter limits (e.g. &lt; 4mA or &gt; 20mA saturation).</w:t>
            </w:r>
          </w:p>
        </w:tc>
        <w:tc>
          <w:tcPr>
            <w:tcW w:type="dxa" w:w="326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Sensor Fault alarm triggered; value excluded from volume calculations; transmitter inspection logged.</w:t>
            </w:r>
          </w:p>
        </w:tc>
      </w:tr>
      <w:tr>
        <w:trPr>
          <w:cantSplit/>
        </w:trPr>
        <w:tc>
          <w:tcPr>
            <w:tcW w:type="dxa" w:w="187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Virtual / Derived Status</w:t>
            </w:r>
          </w:p>
        </w:tc>
        <w:tc>
          <w:tcPr>
            <w:tcW w:type="dxa" w:w="3888"/>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Pump state derived from discharge pressure; OHT FCV state calculated from inflow dynamics.</w:t>
            </w:r>
          </w:p>
        </w:tc>
        <w:tc>
          <w:tcPr>
            <w:tcW w:type="dxa" w:w="326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Visual indicator updated; verified against physical field conditions during commissioning.</w:t>
            </w:r>
          </w:p>
        </w:tc>
      </w:tr>
    </w:tbl>
    <w:p>
      <w:pPr>
        <w:keepNext w:val="0"/>
        <w:widowControl/>
        <w:spacing w:before="0" w:after="100" w:line="240" w:lineRule="auto"/>
      </w:pPr>
    </w:p>
    <w:p>
      <w:pPr>
        <w:pStyle w:val="Heading2"/>
        <w:keepNext/>
        <w:pageBreakBefore w:val="0"/>
        <w:widowControl/>
        <w:spacing w:before="140" w:after="140" w:line="240" w:lineRule="auto"/>
        <w:ind w:left="0" w:right="0"/>
      </w:pPr>
      <w:r/>
      <w:r>
        <w:rPr>
          <w:rFonts w:ascii="Aptos" w:hAnsi="Aptos"/>
          <w:b/>
          <w:color w:val="007B8F"/>
          <w:sz w:val="25"/>
        </w:rPr>
        <w:t>5.1 Ingestion Workers and Browser Streaming</w:t>
      </w:r>
    </w:p>
    <w:p>
      <w:pPr>
        <w:keepNext w:val="0"/>
        <w:widowControl/>
        <w:spacing w:before="0" w:after="160" w:line="240" w:lineRule="auto"/>
      </w:pPr>
      <w:r/>
      <w:r>
        <w:rPr>
          <w:rFonts w:ascii="Aptos" w:hAnsi="Aptos"/>
          <w:b w:val="0"/>
          <w:color w:val="243C49"/>
          <w:sz w:val="21"/>
        </w:rPr>
        <w:t>Server-side telemetry ingestion operates on a 60-second schedule with an overlapping 75-second collection window. This intentional overlap guarantees zero packet loss during network jitter or worker restarts. Live values are broadcast to connected browsers via WebSockets, supported by a 10-second automatic cloud fallback.</w:t>
      </w:r>
    </w:p>
    <w:p>
      <w:pPr>
        <w:keepNext w:val="0"/>
        <w:widowControl/>
        <w:spacing w:before="0" w:after="160" w:line="240" w:lineRule="auto"/>
      </w:pPr>
      <w:r/>
      <w:r>
        <w:rPr>
          <w:rFonts w:ascii="Aptos" w:hAnsi="Aptos"/>
          <w:b w:val="0"/>
          <w:color w:val="243C49"/>
          <w:sz w:val="21"/>
        </w:rPr>
        <w:t>Deterministic data flow is validated across the cellular transmission chain: field publication -&gt; 4G DTU -&gt; MQTT broker -&gt; cloud worker -&gt; database -&gt; web browser.</w:t>
      </w:r>
    </w:p>
    <w:p>
      <w:pPr>
        <w:pStyle w:val="Heading2"/>
        <w:keepNext/>
        <w:pageBreakBefore w:val="0"/>
        <w:widowControl/>
        <w:spacing w:before="140" w:after="140" w:line="240" w:lineRule="auto"/>
        <w:ind w:left="0" w:right="0"/>
      </w:pPr>
      <w:r/>
      <w:r>
        <w:rPr>
          <w:rFonts w:ascii="Aptos" w:hAnsi="Aptos"/>
          <w:b/>
          <w:color w:val="007B8F"/>
          <w:sz w:val="25"/>
        </w:rPr>
        <w:t>5.2 Validation Rules and Deadband Processing</w:t>
      </w:r>
    </w:p>
    <w:p>
      <w:pPr>
        <w:keepNext w:val="0"/>
        <w:widowControl/>
        <w:spacing w:before="0" w:after="160" w:line="240" w:lineRule="auto"/>
      </w:pPr>
      <w:r/>
      <w:r>
        <w:rPr>
          <w:rFonts w:ascii="Aptos" w:hAnsi="Aptos"/>
          <w:b w:val="0"/>
          <w:color w:val="243C49"/>
          <w:sz w:val="21"/>
        </w:rPr>
        <w:t>Incoming values pass through validation filters: engineering range limits, noise deadbands, and rate-of-change clamping. Stale retained MQTT packets are discarded to prevent obsolete readings from overwriting current plant states.</w:t>
      </w:r>
    </w:p>
    <w:p>
      <w:pPr>
        <w:keepNext w:val="0"/>
        <w:widowControl/>
        <w:spacing w:before="0" w:after="160" w:line="240" w:lineRule="auto"/>
      </w:pPr>
      <w:r/>
      <w:r>
        <w:rPr>
          <w:rFonts w:ascii="Aptos" w:hAnsi="Aptos"/>
          <w:b w:val="0"/>
          <w:color w:val="243C49"/>
          <w:sz w:val="21"/>
        </w:rPr>
        <w:t>Cellular MQTT communication utilizes QoS 0/1 with keep-alive ping intervals. The system monitors packet delivery health, displays connection quality indicators, and alerts operators to intermittent carrier connectivity.</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6 OPERATOR WORKFLOW &amp; SUPERVISORY USABILITY</w:t>
      </w:r>
    </w:p>
    <w:p>
      <w:pPr>
        <w:keepNext w:val="0"/>
        <w:widowControl/>
        <w:spacing w:before="0" w:after="160" w:line="240" w:lineRule="auto"/>
      </w:pPr>
      <w:r/>
      <w:r>
        <w:rPr>
          <w:rFonts w:ascii="Aptos" w:hAnsi="Aptos"/>
          <w:b w:val="0"/>
          <w:color w:val="243C49"/>
          <w:sz w:val="21"/>
        </w:rPr>
        <w:t>Standard operating procedures (SOP) ensure consistent plant supervision, rapid fault identification, and disciplined shift logging. Operators follow the 8-step supervisory protocol at the start and throughout each shift.</w:t>
      </w:r>
    </w:p>
    <w:p>
      <w:pPr>
        <w:pStyle w:val="Heading2"/>
        <w:keepNext/>
        <w:pageBreakBefore w:val="0"/>
        <w:widowControl/>
        <w:spacing w:before="140" w:after="140" w:line="240" w:lineRule="auto"/>
        <w:ind w:left="0" w:right="0"/>
      </w:pPr>
      <w:r/>
      <w:r>
        <w:rPr>
          <w:rFonts w:ascii="Aptos" w:hAnsi="Aptos"/>
          <w:b/>
          <w:color w:val="007B8F"/>
          <w:sz w:val="25"/>
        </w:rPr>
        <w:t>6.1 Standard Supervisory Protocol (SOP)</w:t>
      </w:r>
    </w:p>
    <w:p>
      <w:pPr>
        <w:keepNext w:val="0"/>
        <w:widowControl/>
        <w:spacing w:before="0" w:after="200" w:line="240" w:lineRule="auto"/>
      </w:pPr>
      <w:r/>
      <w:r>
        <w:rPr>
          <w:rFonts w:ascii="Aptos" w:hAnsi="Aptos"/>
          <w:b/>
          <w:color w:val="007B8F"/>
          <w:sz w:val="21"/>
        </w:rPr>
        <w:t xml:space="preserve">1 </w:t>
      </w:r>
      <w:r>
        <w:rPr>
          <w:rFonts w:ascii="Aptos" w:hAnsi="Aptos"/>
          <w:b/>
          <w:color w:val="005683"/>
          <w:sz w:val="21"/>
        </w:rPr>
        <w:t>Sign In</w:t>
      </w:r>
      <w:r>
        <w:rPr>
          <w:rFonts w:ascii="Aptos" w:hAnsi="Aptos"/>
          <w:b w:val="0"/>
          <w:color w:val="243C49"/>
          <w:sz w:val="21"/>
        </w:rPr>
        <w:t xml:space="preserve">  Access the authorized project HTTPS URL using assigned credentials. Verify project title and active session role.</w:t>
      </w:r>
    </w:p>
    <w:p>
      <w:pPr>
        <w:keepNext w:val="0"/>
        <w:widowControl/>
        <w:spacing w:before="0" w:after="200" w:line="240" w:lineRule="auto"/>
      </w:pPr>
      <w:r/>
      <w:r>
        <w:rPr>
          <w:rFonts w:ascii="Aptos" w:hAnsi="Aptos"/>
          <w:b/>
          <w:color w:val="007B8F"/>
          <w:sz w:val="21"/>
        </w:rPr>
        <w:t xml:space="preserve">2 </w:t>
      </w:r>
      <w:r>
        <w:rPr>
          <w:rFonts w:ascii="Aptos" w:hAnsi="Aptos"/>
          <w:b/>
          <w:color w:val="005683"/>
          <w:sz w:val="21"/>
        </w:rPr>
        <w:t>Verify Communication</w:t>
      </w:r>
      <w:r>
        <w:rPr>
          <w:rFonts w:ascii="Aptos" w:hAnsi="Aptos"/>
          <w:b w:val="0"/>
          <w:color w:val="243C49"/>
          <w:sz w:val="21"/>
        </w:rPr>
        <w:t xml:space="preserve">  Check the telemetry health indicator and receive timestamps across Intake, WTP, and OHT stations.</w:t>
      </w:r>
    </w:p>
    <w:p>
      <w:pPr>
        <w:keepNext w:val="0"/>
        <w:widowControl/>
        <w:spacing w:before="0" w:after="200" w:line="240" w:lineRule="auto"/>
      </w:pPr>
      <w:r/>
      <w:r>
        <w:rPr>
          <w:rFonts w:ascii="Aptos" w:hAnsi="Aptos"/>
          <w:b/>
          <w:color w:val="007B8F"/>
          <w:sz w:val="21"/>
        </w:rPr>
        <w:t xml:space="preserve">3 </w:t>
      </w:r>
      <w:r>
        <w:rPr>
          <w:rFonts w:ascii="Aptos" w:hAnsi="Aptos"/>
          <w:b/>
          <w:color w:val="005683"/>
          <w:sz w:val="21"/>
        </w:rPr>
        <w:t>Process Area Inspection</w:t>
      </w:r>
      <w:r>
        <w:rPr>
          <w:rFonts w:ascii="Aptos" w:hAnsi="Aptos"/>
          <w:b w:val="0"/>
          <w:color w:val="243C49"/>
          <w:sz w:val="21"/>
        </w:rPr>
        <w:t xml:space="preserve">  Navigate between Intake, WTP, and zonal OHT views, verifying live operating parameters against scheduled targets.</w:t>
      </w:r>
    </w:p>
    <w:p>
      <w:pPr>
        <w:keepNext w:val="0"/>
        <w:widowControl/>
        <w:spacing w:before="0" w:after="200" w:line="240" w:lineRule="auto"/>
      </w:pPr>
      <w:r/>
      <w:r>
        <w:rPr>
          <w:rFonts w:ascii="Aptos" w:hAnsi="Aptos"/>
          <w:b/>
          <w:color w:val="007B8F"/>
          <w:sz w:val="21"/>
        </w:rPr>
        <w:t xml:space="preserve">4 </w:t>
      </w:r>
      <w:r>
        <w:rPr>
          <w:rFonts w:ascii="Aptos" w:hAnsi="Aptos"/>
          <w:b/>
          <w:color w:val="005683"/>
          <w:sz w:val="21"/>
        </w:rPr>
        <w:t>Select Display Mode</w:t>
      </w:r>
      <w:r>
        <w:rPr>
          <w:rFonts w:ascii="Aptos" w:hAnsi="Aptos"/>
          <w:b w:val="0"/>
          <w:color w:val="243C49"/>
          <w:sz w:val="21"/>
        </w:rPr>
        <w:t xml:space="preserve">  Switch between animated P&amp;ID Process View (for hydraulic overview) and Instrument Cards View (for detailed tag metrics).</w:t>
      </w:r>
    </w:p>
    <w:p>
      <w:pPr>
        <w:keepNext w:val="0"/>
        <w:widowControl/>
        <w:spacing w:before="0" w:after="200" w:line="240" w:lineRule="auto"/>
      </w:pPr>
      <w:r/>
      <w:r>
        <w:rPr>
          <w:rFonts w:ascii="Aptos" w:hAnsi="Aptos"/>
          <w:b/>
          <w:color w:val="007B8F"/>
          <w:sz w:val="21"/>
        </w:rPr>
        <w:t xml:space="preserve">5 </w:t>
      </w:r>
      <w:r>
        <w:rPr>
          <w:rFonts w:ascii="Aptos" w:hAnsi="Aptos"/>
          <w:b/>
          <w:color w:val="005683"/>
          <w:sz w:val="21"/>
        </w:rPr>
        <w:t>Trend Investigation</w:t>
      </w:r>
      <w:r>
        <w:rPr>
          <w:rFonts w:ascii="Aptos" w:hAnsi="Aptos"/>
          <w:b w:val="0"/>
          <w:color w:val="243C49"/>
          <w:sz w:val="21"/>
        </w:rPr>
        <w:t xml:space="preserve">  Click any analog instrument card or trend icon to open real-time and historical multi-hour trends and rate-of-change curves.</w:t>
      </w:r>
    </w:p>
    <w:p>
      <w:pPr>
        <w:keepNext w:val="0"/>
        <w:widowControl/>
        <w:spacing w:before="0" w:after="200" w:line="240" w:lineRule="auto"/>
      </w:pPr>
      <w:r/>
      <w:r>
        <w:rPr>
          <w:rFonts w:ascii="Aptos" w:hAnsi="Aptos"/>
          <w:b/>
          <w:color w:val="007B8F"/>
          <w:sz w:val="21"/>
        </w:rPr>
        <w:t xml:space="preserve">6 </w:t>
      </w:r>
      <w:r>
        <w:rPr>
          <w:rFonts w:ascii="Aptos" w:hAnsi="Aptos"/>
          <w:b/>
          <w:color w:val="005683"/>
          <w:sz w:val="21"/>
        </w:rPr>
        <w:t>Alarm Review &amp; Acknowledgment</w:t>
      </w:r>
      <w:r>
        <w:rPr>
          <w:rFonts w:ascii="Aptos" w:hAnsi="Aptos"/>
          <w:b w:val="0"/>
          <w:color w:val="243C49"/>
          <w:sz w:val="21"/>
        </w:rPr>
        <w:t xml:space="preserve">  Examine active alarm banners. Filter by severity and station, investigate underlying cause, and record acknowledgment.</w:t>
      </w:r>
    </w:p>
    <w:p>
      <w:pPr>
        <w:keepNext w:val="0"/>
        <w:widowControl/>
        <w:spacing w:before="0" w:after="200" w:line="240" w:lineRule="auto"/>
      </w:pPr>
      <w:r/>
      <w:r>
        <w:rPr>
          <w:rFonts w:ascii="Aptos" w:hAnsi="Aptos"/>
          <w:b/>
          <w:color w:val="007B8F"/>
          <w:sz w:val="21"/>
        </w:rPr>
        <w:t xml:space="preserve">7 </w:t>
      </w:r>
      <w:r>
        <w:rPr>
          <w:rFonts w:ascii="Aptos" w:hAnsi="Aptos"/>
          <w:b/>
          <w:color w:val="005683"/>
          <w:sz w:val="21"/>
        </w:rPr>
        <w:t>Shift Report Export</w:t>
      </w:r>
      <w:r>
        <w:rPr>
          <w:rFonts w:ascii="Aptos" w:hAnsi="Aptos"/>
          <w:b w:val="0"/>
          <w:color w:val="243C49"/>
          <w:sz w:val="21"/>
        </w:rPr>
        <w:t xml:space="preserve">  Generate and review the shift consumption report. Download the formatted Excel (.xlsx) file for permanent records.</w:t>
      </w:r>
    </w:p>
    <w:p>
      <w:pPr>
        <w:keepNext w:val="0"/>
        <w:widowControl/>
        <w:spacing w:before="0" w:after="200" w:line="240" w:lineRule="auto"/>
      </w:pPr>
      <w:r/>
      <w:r>
        <w:rPr>
          <w:rFonts w:ascii="Aptos" w:hAnsi="Aptos"/>
          <w:b/>
          <w:color w:val="007B8F"/>
          <w:sz w:val="21"/>
        </w:rPr>
        <w:t xml:space="preserve">8 </w:t>
      </w:r>
      <w:r>
        <w:rPr>
          <w:rFonts w:ascii="Aptos" w:hAnsi="Aptos"/>
          <w:b/>
          <w:color w:val="005683"/>
          <w:sz w:val="21"/>
        </w:rPr>
        <w:t>Secure Sign Out</w:t>
      </w:r>
      <w:r>
        <w:rPr>
          <w:rFonts w:ascii="Aptos" w:hAnsi="Aptos"/>
          <w:b w:val="0"/>
          <w:color w:val="243C49"/>
          <w:sz w:val="21"/>
        </w:rPr>
        <w:t xml:space="preserve">  Log out upon shift handover. An automated 12-hour session timeout safeguards unattended workstations.</w:t>
      </w:r>
    </w:p>
    <w:p>
      <w:pPr>
        <w:pStyle w:val="Heading2"/>
        <w:keepNext/>
        <w:pageBreakBefore w:val="0"/>
        <w:widowControl/>
        <w:spacing w:before="140" w:after="140" w:line="240" w:lineRule="auto"/>
        <w:ind w:left="0" w:right="0"/>
      </w:pPr>
      <w:r/>
      <w:r>
        <w:rPr>
          <w:rFonts w:ascii="Aptos" w:hAnsi="Aptos"/>
          <w:b/>
          <w:color w:val="007B8F"/>
          <w:sz w:val="25"/>
        </w:rPr>
        <w:t>6.2 Ergonomics, Themes and Customization</w:t>
      </w:r>
    </w:p>
    <w:p>
      <w:pPr>
        <w:keepNext w:val="0"/>
        <w:widowControl/>
        <w:spacing w:before="0" w:after="160" w:line="240" w:lineRule="auto"/>
      </w:pPr>
      <w:r/>
      <w:r>
        <w:rPr>
          <w:rFonts w:ascii="Aptos" w:hAnsi="Aptos"/>
          <w:b w:val="0"/>
          <w:color w:val="243C49"/>
          <w:sz w:val="21"/>
        </w:rPr>
        <w:t>The user interface incorporates modern industrial ergonomics, including one-click switching between High-Contrast Dark Theme (ideal for 24/7 control rooms) and Clean Light Theme (for engineering offices). Operators can customize instrument card ordering via drag-and-drop, with preferences stored locally per workstation.</w:t>
      </w:r>
    </w:p>
    <w:p>
      <w:pPr>
        <w:pStyle w:val="Heading2"/>
        <w:keepNext/>
        <w:pageBreakBefore w:val="0"/>
        <w:widowControl/>
        <w:spacing w:before="140" w:after="140" w:line="240" w:lineRule="auto"/>
        <w:ind w:left="0" w:right="0"/>
      </w:pPr>
      <w:r/>
      <w:r>
        <w:rPr>
          <w:rFonts w:ascii="Aptos" w:hAnsi="Aptos"/>
          <w:b/>
          <w:color w:val="007B8F"/>
          <w:sz w:val="25"/>
        </w:rPr>
        <w:t>6.3 Interpreting Process Mimics and Status Badges</w:t>
      </w:r>
    </w:p>
    <w:p>
      <w:pPr>
        <w:keepNext w:val="0"/>
        <w:widowControl/>
        <w:spacing w:before="0" w:after="160" w:line="240" w:lineRule="auto"/>
      </w:pPr>
      <w:r/>
      <w:r>
        <w:rPr>
          <w:rFonts w:ascii="Aptos" w:hAnsi="Aptos"/>
          <w:b w:val="0"/>
          <w:color w:val="243C49"/>
          <w:sz w:val="21"/>
        </w:rPr>
        <w:t>Animated P&amp;ID mimics illustrate hydraulic flow, tank liquid levels, and pump operation based on live telemetry. If telemetry becomes stale or offline, UI elements display amber/red diagnostic badges, alerting operators to confirm field status locally.</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7 CENTRAL ALARM &amp; DIAGNOSTICS ENGINE</w:t>
      </w:r>
    </w:p>
    <w:p>
      <w:pPr>
        <w:keepNext w:val="0"/>
        <w:widowControl/>
        <w:spacing w:before="0" w:after="160" w:line="240" w:lineRule="auto"/>
      </w:pPr>
      <w:r/>
      <w:r>
        <w:rPr>
          <w:rFonts w:ascii="Aptos" w:hAnsi="Aptos"/>
          <w:b w:val="0"/>
          <w:color w:val="243C49"/>
          <w:sz w:val="21"/>
        </w:rPr>
        <w:t>The alarm engine monitors critical process parameters against authorized limits. It features multi-tier trip thresholds, anti-nuisance debounce filtering, repeat suppression, and a persistent acknowledgment audit log.</w:t>
      </w:r>
    </w:p>
    <w:p>
      <w:pPr>
        <w:pStyle w:val="Heading2"/>
        <w:keepNext/>
        <w:pageBreakBefore w:val="0"/>
        <w:widowControl/>
        <w:spacing w:before="140" w:after="140" w:line="240" w:lineRule="auto"/>
        <w:ind w:left="0" w:right="0"/>
      </w:pPr>
      <w:r/>
      <w:r>
        <w:rPr>
          <w:rFonts w:ascii="Aptos" w:hAnsi="Aptos"/>
          <w:b/>
          <w:color w:val="007B8F"/>
          <w:sz w:val="25"/>
        </w:rPr>
        <w:t>7.1 Alarm Processing and Acknowledgment Workflow</w:t>
      </w:r>
    </w:p>
    <w:p>
      <w:pPr>
        <w:keepNext w:val="0"/>
        <w:widowControl/>
        <w:spacing w:before="0" w:after="160" w:line="240" w:lineRule="auto"/>
      </w:pPr>
      <w:r/>
      <w:r>
        <w:rPr>
          <w:rFonts w:ascii="Aptos" w:hAnsi="Aptos"/>
          <w:b w:val="0"/>
          <w:color w:val="243C49"/>
          <w:sz w:val="21"/>
        </w:rPr>
        <w:t>Configurable High-High, High, Low, and Low-Low thresholds protect equipment and process integrity. A 10-minute suppression window prevents alarm flooding from fluttering sensors, while hysteresis deadbands eliminate noise-induced chatter.</w:t>
      </w:r>
    </w:p>
    <w:p>
      <w:pPr>
        <w:keepNext w:val="0"/>
        <w:widowControl/>
        <w:spacing w:before="0" w:after="160" w:line="240" w:lineRule="auto"/>
      </w:pPr>
      <w:r/>
      <w:r>
        <w:rPr>
          <w:rFonts w:ascii="Aptos" w:hAnsi="Aptos"/>
          <w:b w:val="0"/>
          <w:color w:val="243C49"/>
          <w:sz w:val="21"/>
        </w:rPr>
        <w:t>Operators can filter alarms by station, severity, or date range. Acknowledgment records the operator ID and timestamp, silencing visual/audible alarms while maintaining active event tracking until the process normalizes.</w:t>
      </w:r>
    </w:p>
    <w:p>
      <w:pPr>
        <w:pStyle w:val="Heading2"/>
        <w:keepNext/>
        <w:pageBreakBefore w:val="0"/>
        <w:widowControl/>
        <w:spacing w:before="140" w:after="140" w:line="240" w:lineRule="auto"/>
        <w:ind w:left="0" w:right="0"/>
      </w:pPr>
      <w:r/>
      <w:r>
        <w:rPr>
          <w:rFonts w:ascii="Aptos" w:hAnsi="Aptos"/>
          <w:b/>
          <w:color w:val="007B8F"/>
          <w:sz w:val="25"/>
        </w:rPr>
        <w:t>7.2 Advanced Advisory Diagnostic Checks</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2592"/>
        <w:gridCol w:w="6437"/>
      </w:tblGrid>
      <w:tr>
        <w:trPr>
          <w:cantSplit/>
          <w:tblHeader/>
        </w:trPr>
        <w:tc>
          <w:tcPr>
            <w:tcW w:type="dxa" w:w="2592"/>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Diagnostic Routine</w:t>
            </w:r>
          </w:p>
        </w:tc>
        <w:tc>
          <w:tcPr>
            <w:tcW w:type="dxa" w:w="6437"/>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Operational Purpose &amp; Engineering Interpretation</w:t>
            </w:r>
          </w:p>
        </w:tc>
      </w:tr>
      <w:tr>
        <w:trPr>
          <w:cantSplit/>
        </w:trPr>
        <w:tc>
          <w:tcPr>
            <w:tcW w:type="dxa" w:w="259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Sensor Out-of-Range / Fault</w:t>
            </w:r>
          </w:p>
        </w:tc>
        <w:tc>
          <w:tcPr>
            <w:tcW w:type="dxa" w:w="643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Detects electrical loop open/short (below 4mA or above 20mA) or physical sensor calibration drift.</w:t>
            </w:r>
          </w:p>
        </w:tc>
      </w:tr>
      <w:tr>
        <w:trPr>
          <w:cantSplit/>
        </w:trPr>
        <w:tc>
          <w:tcPr>
            <w:tcW w:type="dxa" w:w="259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Signal Freeze / Noise Spike</w:t>
            </w:r>
          </w:p>
        </w:tc>
        <w:tc>
          <w:tcPr>
            <w:tcW w:type="dxa" w:w="643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Identifies frozen flatline telemetry or erratic electrical interference spikes for transmitter maintenance.</w:t>
            </w:r>
          </w:p>
        </w:tc>
      </w:tr>
      <w:tr>
        <w:trPr>
          <w:cantSplit/>
        </w:trPr>
        <w:tc>
          <w:tcPr>
            <w:tcW w:type="dxa" w:w="259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Pump Short-Cycling Advisory</w:t>
            </w:r>
          </w:p>
        </w:tc>
        <w:tc>
          <w:tcPr>
            <w:tcW w:type="dxa" w:w="643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Monitors frequent pump starts/stops over short intervals, alerting engineers to improper pressure switch settings.</w:t>
            </w:r>
          </w:p>
        </w:tc>
      </w:tr>
      <w:tr>
        <w:trPr>
          <w:cantSplit/>
        </w:trPr>
        <w:tc>
          <w:tcPr>
            <w:tcW w:type="dxa" w:w="259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Duty / Standby Overlap Advisory</w:t>
            </w:r>
          </w:p>
        </w:tc>
        <w:tc>
          <w:tcPr>
            <w:tcW w:type="dxa" w:w="643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Detects simultaneous pressure on both duty and standby pumps, flagging hydraulic or interlock overlap.</w:t>
            </w:r>
          </w:p>
        </w:tc>
      </w:tr>
      <w:tr>
        <w:trPr>
          <w:cantSplit/>
        </w:trPr>
        <w:tc>
          <w:tcPr>
            <w:tcW w:type="dxa" w:w="259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Cavitation / Low Discharge Advisory</w:t>
            </w:r>
          </w:p>
        </w:tc>
        <w:tc>
          <w:tcPr>
            <w:tcW w:type="dxa" w:w="643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Correlates high pump running hours with sub-normal delivery pressure and flow, indicating suction blockage.</w:t>
            </w:r>
          </w:p>
        </w:tc>
      </w:tr>
      <w:tr>
        <w:trPr>
          <w:cantSplit/>
        </w:trPr>
        <w:tc>
          <w:tcPr>
            <w:tcW w:type="dxa" w:w="259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Water Balance &amp; Leakage Advisory</w:t>
            </w:r>
          </w:p>
        </w:tc>
        <w:tc>
          <w:tcPr>
            <w:tcW w:type="dxa" w:w="643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Compares bulk WTP transmission output against total OHT inlet volumes, providing early pipeline burst warnings.</w:t>
            </w:r>
          </w:p>
        </w:tc>
      </w:tr>
    </w:tbl>
    <w:p>
      <w:pPr>
        <w:keepNext w:val="0"/>
        <w:widowControl/>
        <w:spacing w:before="0" w:after="100" w:line="240" w:lineRule="auto"/>
      </w:pPr>
    </w:p>
    <w:p>
      <w:pPr>
        <w:keepNext w:val="0"/>
        <w:widowControl/>
        <w:spacing w:before="0" w:after="160" w:line="240" w:lineRule="auto"/>
      </w:pPr>
      <w:r/>
      <w:r>
        <w:rPr>
          <w:rFonts w:ascii="Aptos" w:hAnsi="Aptos"/>
          <w:b w:val="0"/>
          <w:color w:val="243C49"/>
          <w:sz w:val="21"/>
        </w:rPr>
        <w:t>Advisory diagnostics execute edge analytical checks on high-frequency MQTT streams to provide early maintenance insights. These checks operate in an advisory capacity, supplementing rather than replacing hardware protection relays.</w:t>
      </w:r>
    </w:p>
    <w:p>
      <w:pPr>
        <w:pStyle w:val="Heading2"/>
        <w:keepNext/>
        <w:pageBreakBefore w:val="0"/>
        <w:widowControl/>
        <w:spacing w:before="140" w:after="140" w:line="240" w:lineRule="auto"/>
        <w:ind w:left="0" w:right="0"/>
      </w:pPr>
      <w:r/>
      <w:r>
        <w:rPr>
          <w:rFonts w:ascii="Aptos" w:hAnsi="Aptos"/>
          <w:b/>
          <w:color w:val="007B8F"/>
          <w:sz w:val="25"/>
        </w:rPr>
        <w:t>7.3 Escalation and Notification Handling</w:t>
      </w:r>
    </w:p>
    <w:p>
      <w:pPr>
        <w:keepNext w:val="0"/>
        <w:widowControl/>
        <w:spacing w:before="0" w:after="160" w:line="240" w:lineRule="auto"/>
      </w:pPr>
      <w:r/>
      <w:r>
        <w:rPr>
          <w:rFonts w:ascii="Aptos" w:hAnsi="Aptos"/>
          <w:b w:val="0"/>
          <w:color w:val="243C49"/>
          <w:sz w:val="21"/>
        </w:rPr>
        <w:t>The platform includes backend interfaces for automated SMTP email notifications and SMS/WhatsApp alert dispatch for critical unacknowledged alarms. Alarm event logs are archived in PostgreSQL for statutory compliance audits.</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8 REAL-TIME TRENDS &amp; ADVANCED PLANT ANALYTICS</w:t>
      </w:r>
    </w:p>
    <w:p>
      <w:pPr>
        <w:keepNext w:val="0"/>
        <w:widowControl/>
        <w:spacing w:before="0" w:after="160" w:line="240" w:lineRule="auto"/>
      </w:pPr>
      <w:r/>
      <w:r>
        <w:rPr>
          <w:rFonts w:ascii="Aptos" w:hAnsi="Aptos"/>
          <w:b w:val="0"/>
          <w:color w:val="243C49"/>
          <w:sz w:val="21"/>
        </w:rPr>
        <w:t>Time-series analytics transform raw sensor data into actionable operational intelligence. Trend visualizations help engineers detect pipeline leaks, monitor pump degradation, and optimize reservoir filling schedules.</w:t>
      </w:r>
    </w:p>
    <w:p>
      <w:pPr>
        <w:pStyle w:val="Heading2"/>
        <w:keepNext/>
        <w:pageBreakBefore w:val="0"/>
        <w:widowControl/>
        <w:spacing w:before="140" w:after="140" w:line="240" w:lineRule="auto"/>
        <w:ind w:left="0" w:right="0"/>
      </w:pPr>
      <w:r/>
      <w:r>
        <w:rPr>
          <w:rFonts w:ascii="Aptos" w:hAnsi="Aptos"/>
          <w:b/>
          <w:color w:val="007B8F"/>
          <w:sz w:val="25"/>
        </w:rPr>
        <w:t>8.1 Interactive Sensor Trending</w:t>
      </w:r>
    </w:p>
    <w:p>
      <w:pPr>
        <w:keepNext w:val="0"/>
        <w:widowControl/>
        <w:spacing w:before="0" w:after="160" w:line="240" w:lineRule="auto"/>
      </w:pPr>
      <w:r/>
      <w:r>
        <w:rPr>
          <w:rFonts w:ascii="Aptos" w:hAnsi="Aptos"/>
          <w:b w:val="0"/>
          <w:color w:val="243C49"/>
          <w:sz w:val="21"/>
        </w:rPr>
        <w:t>The trend engine provides flexible zoom windows (1 Hour, 6 Hours, 24 Hours, and Custom Date Ranges). Built-in statistical calculations display rolling minimum, maximum, average, and rate-of-change metrics alongside raw curves.</w:t>
      </w:r>
    </w:p>
    <w:p>
      <w:pPr>
        <w:keepNext w:val="0"/>
        <w:widowControl/>
        <w:spacing w:before="0" w:after="160" w:line="240" w:lineRule="auto"/>
      </w:pPr>
      <w:r/>
      <w:r>
        <w:rPr>
          <w:rFonts w:ascii="Aptos" w:hAnsi="Aptos"/>
          <w:b w:val="0"/>
          <w:color w:val="243C49"/>
          <w:sz w:val="21"/>
        </w:rPr>
        <w:t>Trend graphs combine historical 5-minute database buckets with live WebSocket updates, providing continuous, seamless real-time visualization.</w:t>
      </w:r>
    </w:p>
    <w:p>
      <w:pPr>
        <w:pStyle w:val="Heading2"/>
        <w:keepNext/>
        <w:pageBreakBefore w:val="0"/>
        <w:widowControl/>
        <w:spacing w:before="140" w:after="140" w:line="240" w:lineRule="auto"/>
        <w:ind w:left="0" w:right="0"/>
      </w:pPr>
      <w:r/>
      <w:r>
        <w:rPr>
          <w:rFonts w:ascii="Aptos" w:hAnsi="Aptos"/>
          <w:b/>
          <w:color w:val="007B8F"/>
          <w:sz w:val="25"/>
        </w:rPr>
        <w:t>8.2 Plant Operations and Efficiency Analytics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Pumping Station Duty Tracking</w:t>
      </w:r>
      <w:r>
        <w:rPr>
          <w:rFonts w:ascii="Aptos" w:hAnsi="Aptos"/>
          <w:b w:val="0"/>
          <w:color w:val="243C49"/>
          <w:sz w:val="21"/>
        </w:rPr>
        <w:t xml:space="preserve">  Inferred run-hours, start-count cycles, daily running summaries, and 7-day comparative duty cycle charts for Intake VT and WTP HT pumps.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Volumetric Water Balance</w:t>
      </w:r>
      <w:r>
        <w:rPr>
          <w:rFonts w:ascii="Aptos" w:hAnsi="Aptos"/>
          <w:b w:val="0"/>
          <w:color w:val="243C49"/>
          <w:sz w:val="21"/>
        </w:rPr>
        <w:t xml:space="preserve">  Hourly, daily, and weekly consumption bar charts. Separate raw water inlet and treated water outlet totalizers enable real-time filtration loss and backwash water auditing.</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Distribution Reservoir Balancing</w:t>
      </w:r>
      <w:r>
        <w:rPr>
          <w:rFonts w:ascii="Aptos" w:hAnsi="Aptos"/>
          <w:b w:val="0"/>
          <w:color w:val="243C49"/>
          <w:sz w:val="21"/>
        </w:rPr>
        <w:t xml:space="preserve">  Cross-tank level and inflow rate comparisons across all Overhead Tanks (OHTs), ensuring equitable zonal water distribution.</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Historical Performance Audits</w:t>
      </w:r>
      <w:r>
        <w:rPr>
          <w:rFonts w:ascii="Aptos" w:hAnsi="Aptos"/>
          <w:b w:val="0"/>
          <w:color w:val="243C49"/>
          <w:sz w:val="21"/>
        </w:rPr>
        <w:t xml:space="preserve">  7-day and 30-day comparative trends supporting municipal engineering reviews and billing verification.</w:t>
      </w:r>
    </w:p>
    <w:p>
      <w:pPr>
        <w:pStyle w:val="Heading2"/>
        <w:keepNext/>
        <w:pageBreakBefore w:val="0"/>
        <w:widowControl/>
        <w:spacing w:before="140" w:after="140" w:line="240" w:lineRule="auto"/>
        <w:ind w:left="0" w:right="0"/>
      </w:pPr>
      <w:r/>
      <w:r>
        <w:rPr>
          <w:rFonts w:ascii="Aptos" w:hAnsi="Aptos"/>
          <w:b/>
          <w:color w:val="007B8F"/>
          <w:sz w:val="25"/>
        </w:rPr>
        <w:t>8.3 Hydraulic Interpretation and Accounting Rules</w:t>
      </w:r>
    </w:p>
    <w:p>
      <w:pPr>
        <w:keepNext w:val="0"/>
        <w:widowControl/>
        <w:spacing w:before="0" w:after="160" w:line="240" w:lineRule="auto"/>
      </w:pPr>
      <w:r/>
      <w:r>
        <w:rPr>
          <w:rFonts w:ascii="Aptos" w:hAnsi="Aptos"/>
          <w:b w:val="0"/>
          <w:color w:val="243C49"/>
          <w:sz w:val="21"/>
        </w:rPr>
        <w:t>Totalizer differences are verified against rollover and reset conditions. Water balance calculations account for raw water sump and treated reservoir buffering before flagging pipeline discrepancies.</w:t>
      </w:r>
    </w:p>
    <w:p>
      <w:pPr>
        <w:keepNext w:val="0"/>
        <w:widowControl/>
        <w:spacing w:before="0" w:after="160" w:line="240" w:lineRule="auto"/>
      </w:pPr>
      <w:r/>
      <w:r>
        <w:rPr>
          <w:rFonts w:ascii="Aptos" w:hAnsi="Aptos"/>
          <w:b w:val="0"/>
          <w:color w:val="243C49"/>
          <w:sz w:val="21"/>
        </w:rPr>
        <w:t>Consumption totals are reconciled against certified bulk electromagnetic flowmeter registers during statutory shift handovers.</w:t>
      </w:r>
    </w:p>
    <w:p>
      <w:pPr>
        <w:keepNext w:val="0"/>
        <w:widowControl/>
        <w:spacing w:before="0" w:after="160" w:line="240" w:lineRule="auto"/>
      </w:pPr>
      <w:r/>
      <w:r>
        <w:rPr>
          <w:rFonts w:ascii="Aptos" w:hAnsi="Aptos"/>
          <w:b w:val="0"/>
          <w:color w:val="243C49"/>
          <w:sz w:val="21"/>
        </w:rPr>
        <w:t>Transient flow variations caused by valve throttling or backwash cycles are factored into loss calculations to prevent false leakage alarms.</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9 DURABLE HISTORIAN &amp; AUTOMATED SHIFT REPORTING</w:t>
      </w:r>
    </w:p>
    <w:p>
      <w:pPr>
        <w:keepNext w:val="0"/>
        <w:widowControl/>
        <w:spacing w:before="0" w:after="160" w:line="240" w:lineRule="auto"/>
      </w:pPr>
      <w:r/>
      <w:r>
        <w:rPr>
          <w:rFonts w:ascii="Aptos" w:hAnsi="Aptos"/>
          <w:b w:val="0"/>
          <w:color w:val="243C49"/>
          <w:sz w:val="21"/>
        </w:rPr>
        <w:t>The cloud historian provides a tamper-evident, permanent time-series repository. A transactional ingestion engine updates latest telemetry and writes 5-minute historical buckets in a single atomic database operation.</w:t>
      </w:r>
    </w:p>
    <w:p>
      <w:pPr>
        <w:pStyle w:val="Heading2"/>
        <w:keepNext/>
        <w:pageBreakBefore w:val="0"/>
        <w:widowControl/>
        <w:spacing w:before="140" w:after="140" w:line="240" w:lineRule="auto"/>
        <w:ind w:left="0" w:right="0"/>
      </w:pPr>
      <w:r/>
      <w:r>
        <w:rPr>
          <w:rFonts w:ascii="Aptos" w:hAnsi="Aptos"/>
          <w:b/>
          <w:color w:val="007B8F"/>
          <w:sz w:val="25"/>
        </w:rPr>
        <w:t>9.1 Historian Architecture and Bucketing Resolution</w:t>
      </w:r>
    </w:p>
    <w:p>
      <w:pPr>
        <w:keepNext w:val="0"/>
        <w:widowControl/>
        <w:spacing w:before="0" w:after="160" w:line="240" w:lineRule="auto"/>
      </w:pPr>
      <w:r/>
      <w:r>
        <w:rPr>
          <w:rFonts w:ascii="Aptos" w:hAnsi="Aptos"/>
          <w:b w:val="0"/>
          <w:color w:val="243C49"/>
          <w:sz w:val="21"/>
        </w:rPr>
        <w:t>Records are organized into synchronized 5-minute time buckets per tag. Idempotent database functions ensure that network retries or overlapping collectors never produce duplicate records for the same time slot.</w:t>
      </w:r>
    </w:p>
    <w:p>
      <w:pPr>
        <w:keepNext w:val="0"/>
        <w:widowControl/>
        <w:spacing w:before="0" w:after="160" w:line="240" w:lineRule="auto"/>
      </w:pPr>
      <w:r/>
      <w:r>
        <w:rPr>
          <w:rFonts w:ascii="Aptos" w:hAnsi="Aptos"/>
          <w:b w:val="0"/>
          <w:color w:val="243C49"/>
          <w:sz w:val="21"/>
        </w:rPr>
        <w:t>Every historian record preserves both the synchronized bucket timestamp and the original RTU field generation timestamp, ensuring complete traceability for audits and legal inquiries.</w:t>
      </w:r>
    </w:p>
    <w:p>
      <w:pPr>
        <w:pStyle w:val="Heading2"/>
        <w:keepNext/>
        <w:pageBreakBefore w:val="0"/>
        <w:widowControl/>
        <w:spacing w:before="140" w:after="140" w:line="240" w:lineRule="auto"/>
        <w:ind w:left="0" w:right="0"/>
      </w:pPr>
      <w:r/>
      <w:r>
        <w:rPr>
          <w:rFonts w:ascii="Aptos" w:hAnsi="Aptos"/>
          <w:b/>
          <w:color w:val="007B8F"/>
          <w:sz w:val="25"/>
        </w:rPr>
        <w:t>9.2 Automated Operator Shift Reports</w:t>
      </w:r>
    </w:p>
    <w:p>
      <w:pPr>
        <w:keepNext w:val="0"/>
        <w:widowControl/>
        <w:spacing w:before="0" w:after="140" w:line="240" w:lineRule="auto"/>
      </w:pPr>
      <w:r/>
      <w:r>
        <w:rPr>
          <w:rFonts w:ascii="Aptos" w:hAnsi="Aptos"/>
          <w:b/>
          <w:color w:val="007B8F"/>
          <w:sz w:val="21"/>
        </w:rPr>
        <w:t xml:space="preserve">1 </w:t>
      </w:r>
      <w:r>
        <w:rPr>
          <w:rFonts w:ascii="Aptos" w:hAnsi="Aptos"/>
          <w:b/>
          <w:color w:val="005683"/>
          <w:sz w:val="21"/>
        </w:rPr>
        <w:t>Select Reporting Window</w:t>
      </w:r>
      <w:r>
        <w:rPr>
          <w:rFonts w:ascii="Aptos" w:hAnsi="Aptos"/>
          <w:b w:val="0"/>
          <w:color w:val="243C49"/>
          <w:sz w:val="21"/>
        </w:rPr>
        <w:t xml:space="preserve">  Open the Historian interface and choose target date or shift period.</w:t>
      </w:r>
    </w:p>
    <w:p>
      <w:pPr>
        <w:keepNext w:val="0"/>
        <w:widowControl/>
        <w:spacing w:before="0" w:after="140" w:line="240" w:lineRule="auto"/>
      </w:pPr>
      <w:r/>
      <w:r>
        <w:rPr>
          <w:rFonts w:ascii="Aptos" w:hAnsi="Aptos"/>
          <w:b/>
          <w:color w:val="007B8F"/>
          <w:sz w:val="21"/>
        </w:rPr>
        <w:t xml:space="preserve">2 </w:t>
      </w:r>
      <w:r>
        <w:rPr>
          <w:rFonts w:ascii="Aptos" w:hAnsi="Aptos"/>
          <w:b/>
          <w:color w:val="005683"/>
          <w:sz w:val="21"/>
        </w:rPr>
        <w:t>Define Station Scope</w:t>
      </w:r>
      <w:r>
        <w:rPr>
          <w:rFonts w:ascii="Aptos" w:hAnsi="Aptos"/>
          <w:b w:val="0"/>
          <w:color w:val="243C49"/>
          <w:sz w:val="21"/>
        </w:rPr>
        <w:t xml:space="preserve">  Filter records by Intake, WTP, or specific zonal Overhead Tanks.</w:t>
      </w:r>
    </w:p>
    <w:p>
      <w:pPr>
        <w:keepNext w:val="0"/>
        <w:widowControl/>
        <w:spacing w:before="0" w:after="140" w:line="240" w:lineRule="auto"/>
      </w:pPr>
      <w:r/>
      <w:r>
        <w:rPr>
          <w:rFonts w:ascii="Aptos" w:hAnsi="Aptos"/>
          <w:b/>
          <w:color w:val="007B8F"/>
          <w:sz w:val="21"/>
        </w:rPr>
        <w:t xml:space="preserve">3 </w:t>
      </w:r>
      <w:r>
        <w:rPr>
          <w:rFonts w:ascii="Aptos" w:hAnsi="Aptos"/>
          <w:b/>
          <w:color w:val="005683"/>
          <w:sz w:val="21"/>
        </w:rPr>
        <w:t>Data Integrity Audit</w:t>
      </w:r>
      <w:r>
        <w:rPr>
          <w:rFonts w:ascii="Aptos" w:hAnsi="Aptos"/>
          <w:b w:val="0"/>
          <w:color w:val="243C49"/>
          <w:sz w:val="21"/>
        </w:rPr>
        <w:t xml:space="preserve">  Inspect completeness, review any network gap intervals, and verify Indian Standard Time (IST) timestamps.</w:t>
      </w:r>
    </w:p>
    <w:p>
      <w:pPr>
        <w:keepNext w:val="0"/>
        <w:widowControl/>
        <w:spacing w:before="0" w:after="140" w:line="240" w:lineRule="auto"/>
      </w:pPr>
      <w:r/>
      <w:r>
        <w:rPr>
          <w:rFonts w:ascii="Aptos" w:hAnsi="Aptos"/>
          <w:b/>
          <w:color w:val="007B8F"/>
          <w:sz w:val="21"/>
        </w:rPr>
        <w:t xml:space="preserve">4 </w:t>
      </w:r>
      <w:r>
        <w:rPr>
          <w:rFonts w:ascii="Aptos" w:hAnsi="Aptos"/>
          <w:b/>
          <w:color w:val="005683"/>
          <w:sz w:val="21"/>
        </w:rPr>
        <w:t>Aggregation Resolution</w:t>
      </w:r>
      <w:r>
        <w:rPr>
          <w:rFonts w:ascii="Aptos" w:hAnsi="Aptos"/>
          <w:b w:val="0"/>
          <w:color w:val="243C49"/>
          <w:sz w:val="21"/>
        </w:rPr>
        <w:t xml:space="preserve">  Select raw 5-minute records or hourly summarized metrics as required.</w:t>
      </w:r>
    </w:p>
    <w:p>
      <w:pPr>
        <w:keepNext w:val="0"/>
        <w:widowControl/>
        <w:spacing w:before="0" w:after="140" w:line="240" w:lineRule="auto"/>
      </w:pPr>
      <w:r/>
      <w:r>
        <w:rPr>
          <w:rFonts w:ascii="Aptos" w:hAnsi="Aptos"/>
          <w:b/>
          <w:color w:val="007B8F"/>
          <w:sz w:val="21"/>
        </w:rPr>
        <w:t xml:space="preserve">5 </w:t>
      </w:r>
      <w:r>
        <w:rPr>
          <w:rFonts w:ascii="Aptos" w:hAnsi="Aptos"/>
          <w:b/>
          <w:color w:val="005683"/>
          <w:sz w:val="21"/>
        </w:rPr>
        <w:t>One-Click Export</w:t>
      </w:r>
      <w:r>
        <w:rPr>
          <w:rFonts w:ascii="Aptos" w:hAnsi="Aptos"/>
          <w:b w:val="0"/>
          <w:color w:val="243C49"/>
          <w:sz w:val="21"/>
        </w:rPr>
        <w:t xml:space="preserve">  Generate and download the formatted Excel (.xlsx) shift report, complete with engineering units and plant headers.</w:t>
      </w:r>
    </w:p>
    <w:p>
      <w:pPr>
        <w:pStyle w:val="Heading2"/>
        <w:keepNext/>
        <w:pageBreakBefore w:val="0"/>
        <w:widowControl/>
        <w:spacing w:before="140" w:after="140" w:line="240" w:lineRule="auto"/>
        <w:ind w:left="0" w:right="0"/>
      </w:pPr>
      <w:r/>
      <w:r>
        <w:rPr>
          <w:rFonts w:ascii="Aptos" w:hAnsi="Aptos"/>
          <w:b/>
          <w:color w:val="007B8F"/>
          <w:sz w:val="25"/>
        </w:rPr>
        <w:t>9.3 Scheduled Automated Exports and Cloud Archiving</w:t>
      </w:r>
    </w:p>
    <w:p>
      <w:pPr>
        <w:keepNext w:val="0"/>
        <w:widowControl/>
        <w:spacing w:before="0" w:after="160" w:line="240" w:lineRule="auto"/>
      </w:pPr>
      <w:r/>
      <w:r>
        <w:rPr>
          <w:rFonts w:ascii="Aptos" w:hAnsi="Aptos"/>
          <w:b w:val="0"/>
          <w:color w:val="243C49"/>
          <w:sz w:val="21"/>
        </w:rPr>
        <w:t>Automated server cron jobs execute hourly aggregations and midnight shift summary archiving. Formatted Excel reports (.xlsx) are generated and stored in cloud object storage for permanent municipal records.</w:t>
      </w:r>
    </w:p>
    <w:p>
      <w:pPr>
        <w:keepNext w:val="0"/>
        <w:widowControl/>
        <w:spacing w:before="0" w:after="160" w:line="240" w:lineRule="auto"/>
      </w:pPr>
      <w:r/>
      <w:r>
        <w:rPr>
          <w:rFonts w:ascii="Aptos" w:hAnsi="Aptos"/>
          <w:b w:val="0"/>
          <w:color w:val="243C49"/>
          <w:sz w:val="21"/>
        </w:rPr>
        <w:t>Data retention policies are configured per project requirements, maintaining high-resolution 5-minute data for operational review and aggregated daily metrics for multi-year compliance archives.</w:t>
      </w:r>
    </w:p>
    <w:p>
      <w:pPr>
        <w:keepNext w:val="0"/>
        <w:widowControl/>
        <w:spacing w:before="0" w:after="160" w:line="240" w:lineRule="auto"/>
      </w:pPr>
      <w:r/>
      <w:r>
        <w:rPr>
          <w:rFonts w:ascii="Aptos" w:hAnsi="Aptos"/>
          <w:b w:val="0"/>
          <w:color w:val="243C49"/>
          <w:sz w:val="21"/>
        </w:rPr>
        <w:t>Browser downloads offer immediate convenience, while server-side scheduled backups guarantee automated data preservation independent of user logins.</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10 GOVERNMENT GIS INTEGRATION (MPGARUD / UADD API)</w:t>
      </w:r>
    </w:p>
    <w:p>
      <w:pPr>
        <w:keepNext w:val="0"/>
        <w:widowControl/>
        <w:spacing w:before="0" w:after="160" w:line="240" w:lineRule="auto"/>
      </w:pPr>
      <w:r/>
      <w:r>
        <w:rPr>
          <w:rFonts w:ascii="Aptos" w:hAnsi="Aptos"/>
          <w:b w:val="0"/>
          <w:color w:val="243C49"/>
          <w:sz w:val="21"/>
        </w:rPr>
        <w:t>Orbit Web SCADA incorporates an automated integration engine compliant with the Urban Administration and Development Directorate (UADD), Government of Madhya Pradesh, for the MPGARUD smart water monitoring initiative.</w:t>
      </w:r>
    </w:p>
    <w:p>
      <w:pPr>
        <w:pStyle w:val="Heading2"/>
        <w:keepNext/>
        <w:pageBreakBefore w:val="0"/>
        <w:widowControl/>
        <w:spacing w:before="140" w:after="140" w:line="240" w:lineRule="auto"/>
        <w:ind w:left="0" w:right="0"/>
      </w:pPr>
      <w:r/>
      <w:r>
        <w:rPr>
          <w:rFonts w:ascii="Aptos" w:hAnsi="Aptos"/>
          <w:b/>
          <w:color w:val="007B8F"/>
          <w:sz w:val="25"/>
        </w:rPr>
        <w:t>10.1 Automated Submission Architecture</w:t>
      </w:r>
    </w:p>
    <w:p>
      <w:pPr>
        <w:keepNext w:val="0"/>
        <w:widowControl/>
        <w:spacing w:before="0" w:after="160" w:line="240" w:lineRule="auto"/>
      </w:pPr>
      <w:r/>
      <w:r>
        <w:rPr>
          <w:rFonts w:ascii="Aptos" w:hAnsi="Aptos"/>
          <w:b/>
          <w:color w:val="007B8F"/>
          <w:sz w:val="21"/>
        </w:rPr>
        <w:t xml:space="preserve">1 </w:t>
      </w:r>
      <w:r>
        <w:rPr>
          <w:rFonts w:ascii="Aptos" w:hAnsi="Aptos"/>
          <w:b/>
          <w:color w:val="005683"/>
          <w:sz w:val="21"/>
        </w:rPr>
        <w:t>Telemetry Aggregation</w:t>
      </w:r>
      <w:r>
        <w:rPr>
          <w:rFonts w:ascii="Aptos" w:hAnsi="Aptos"/>
          <w:b w:val="0"/>
          <w:color w:val="243C49"/>
          <w:sz w:val="21"/>
        </w:rPr>
        <w:t xml:space="preserve">  The integration service extracts validated measurements across Intake, WTP, and OHTs with precise field generation timestamps.</w:t>
      </w:r>
    </w:p>
    <w:p>
      <w:pPr>
        <w:keepNext w:val="0"/>
        <w:widowControl/>
        <w:spacing w:before="0" w:after="160" w:line="240" w:lineRule="auto"/>
      </w:pPr>
      <w:r/>
      <w:r>
        <w:rPr>
          <w:rFonts w:ascii="Aptos" w:hAnsi="Aptos"/>
          <w:b/>
          <w:color w:val="007B8F"/>
          <w:sz w:val="21"/>
        </w:rPr>
        <w:t xml:space="preserve">2 </w:t>
      </w:r>
      <w:r>
        <w:rPr>
          <w:rFonts w:ascii="Aptos" w:hAnsi="Aptos"/>
          <w:b/>
          <w:color w:val="005683"/>
          <w:sz w:val="21"/>
        </w:rPr>
        <w:t>Freshness Quality Gate</w:t>
      </w:r>
      <w:r>
        <w:rPr>
          <w:rFonts w:ascii="Aptos" w:hAnsi="Aptos"/>
          <w:b w:val="0"/>
          <w:color w:val="243C49"/>
          <w:sz w:val="21"/>
        </w:rPr>
        <w:t xml:space="preserve">  A strict 15-minute freshness filter suppresses stale telemetry, ensuring outdated values are never pushed to government servers.</w:t>
      </w:r>
    </w:p>
    <w:p>
      <w:pPr>
        <w:keepNext w:val="0"/>
        <w:widowControl/>
        <w:spacing w:before="0" w:after="160" w:line="240" w:lineRule="auto"/>
      </w:pPr>
      <w:r/>
      <w:r>
        <w:rPr>
          <w:rFonts w:ascii="Aptos" w:hAnsi="Aptos"/>
          <w:b/>
          <w:color w:val="007B8F"/>
          <w:sz w:val="21"/>
        </w:rPr>
        <w:t xml:space="preserve">3 </w:t>
      </w:r>
      <w:r>
        <w:rPr>
          <w:rFonts w:ascii="Aptos" w:hAnsi="Aptos"/>
          <w:b/>
          <w:color w:val="005683"/>
          <w:sz w:val="21"/>
        </w:rPr>
        <w:t>Payload Formatting</w:t>
      </w:r>
      <w:r>
        <w:rPr>
          <w:rFonts w:ascii="Aptos" w:hAnsi="Aptos"/>
          <w:b w:val="0"/>
          <w:color w:val="243C49"/>
          <w:sz w:val="21"/>
        </w:rPr>
        <w:t xml:space="preserve">  Data is structured into the official JSON schema using Vendor Registration Code UADDORESREG022 and device IDs.</w:t>
      </w:r>
    </w:p>
    <w:p>
      <w:pPr>
        <w:keepNext w:val="0"/>
        <w:widowControl/>
        <w:spacing w:before="0" w:after="160" w:line="240" w:lineRule="auto"/>
      </w:pPr>
      <w:r/>
      <w:r>
        <w:rPr>
          <w:rFonts w:ascii="Aptos" w:hAnsi="Aptos"/>
          <w:b/>
          <w:color w:val="007B8F"/>
          <w:sz w:val="21"/>
        </w:rPr>
        <w:t xml:space="preserve">4 </w:t>
      </w:r>
      <w:r>
        <w:rPr>
          <w:rFonts w:ascii="Aptos" w:hAnsi="Aptos"/>
          <w:b/>
          <w:color w:val="005683"/>
          <w:sz w:val="21"/>
        </w:rPr>
        <w:t>HTTPS API Transmission</w:t>
      </w:r>
      <w:r>
        <w:rPr>
          <w:rFonts w:ascii="Aptos" w:hAnsi="Aptos"/>
          <w:b w:val="0"/>
          <w:color w:val="243C49"/>
          <w:sz w:val="21"/>
        </w:rPr>
        <w:t xml:space="preserve">  Payloads are pushed to the MPGARUD endpoint, logging HTTP response codes, latency (ms), and server receipts.</w:t>
      </w:r>
    </w:p>
    <w:p>
      <w:pPr>
        <w:pStyle w:val="Heading2"/>
        <w:keepNext/>
        <w:pageBreakBefore w:val="0"/>
        <w:widowControl/>
        <w:spacing w:before="140" w:after="140" w:line="240" w:lineRule="auto"/>
        <w:ind w:left="0" w:right="0"/>
      </w:pPr>
      <w:r/>
      <w:r>
        <w:rPr>
          <w:rFonts w:ascii="Aptos" w:hAnsi="Aptos"/>
          <w:b/>
          <w:color w:val="007B8F"/>
          <w:sz w:val="25"/>
        </w:rPr>
        <w:t>10.2 Transmission Schedule and Stale Data Filtering</w:t>
      </w:r>
    </w:p>
    <w:p>
      <w:pPr>
        <w:keepNext w:val="0"/>
        <w:widowControl/>
        <w:spacing w:before="0" w:after="160" w:line="240" w:lineRule="auto"/>
      </w:pPr>
      <w:r/>
      <w:r>
        <w:rPr>
          <w:rFonts w:ascii="Aptos" w:hAnsi="Aptos"/>
          <w:b w:val="0"/>
          <w:color w:val="243C49"/>
          <w:sz w:val="21"/>
        </w:rPr>
        <w:t>The automated synchronization worker triggers hourly at minute 03. All device timestamps are converted to India Standard Time (IST, UTC+05:30) in ISO 8601 format. Crucially, a strict 15-minute freshness filter suppresses stale telemetry, ensuring that faulty transmitters never publish misleading data to state dashboards.</w:t>
      </w:r>
    </w:p>
    <w:p>
      <w:pPr>
        <w:keepNext w:val="0"/>
        <w:widowControl/>
        <w:spacing w:before="0" w:after="160" w:line="240" w:lineRule="auto"/>
      </w:pPr>
      <w:r/>
      <w:r>
        <w:rPr>
          <w:rFonts w:ascii="Aptos" w:hAnsi="Aptos"/>
          <w:b w:val="0"/>
          <w:color w:val="243C49"/>
          <w:sz w:val="21"/>
        </w:rPr>
        <w:t>The GIS Sync Status interface provides live transparency, displaying transmission timestamps, HTTP status codes (200 OK), payload previews, and government server response tokens.</w:t>
      </w:r>
    </w:p>
    <w:p>
      <w:pPr>
        <w:pStyle w:val="Heading2"/>
        <w:keepNext/>
        <w:pageBreakBefore w:val="0"/>
        <w:widowControl/>
        <w:spacing w:before="140" w:after="140" w:line="240" w:lineRule="auto"/>
        <w:ind w:left="0" w:right="0"/>
      </w:pPr>
      <w:r/>
      <w:r>
        <w:rPr>
          <w:rFonts w:ascii="Aptos" w:hAnsi="Aptos"/>
          <w:b/>
          <w:color w:val="007B8F"/>
          <w:sz w:val="25"/>
        </w:rPr>
        <w:t>10.3 Engineering Unit Harmonization and Verification</w:t>
      </w:r>
    </w:p>
    <w:p>
      <w:pPr>
        <w:keepNext w:val="0"/>
        <w:widowControl/>
        <w:spacing w:before="0" w:after="160" w:line="240" w:lineRule="auto"/>
      </w:pPr>
      <w:r/>
      <w:r>
        <w:rPr>
          <w:rFonts w:ascii="Aptos" w:hAnsi="Aptos"/>
          <w:b w:val="0"/>
          <w:color w:val="243C49"/>
          <w:sz w:val="21"/>
        </w:rPr>
        <w:t>Flow rates in m³/hr are programmatically converted to Million Litres per Day (MLD) using the strict multiplier 0.024. Tank levels and pressures are mapped to approved government schema definitions.</w:t>
      </w:r>
    </w:p>
    <w:p>
      <w:pPr>
        <w:keepNext w:val="0"/>
        <w:widowControl/>
        <w:spacing w:before="0" w:after="160" w:line="240" w:lineRule="auto"/>
      </w:pPr>
      <w:r/>
      <w:r>
        <w:rPr>
          <w:rFonts w:ascii="Aptos" w:hAnsi="Aptos"/>
          <w:b w:val="0"/>
          <w:color w:val="243C49"/>
          <w:sz w:val="21"/>
        </w:rPr>
        <w:t>All payload keys and station device IDs are verified against state nodal agency specifications, establishing complete end-to-end data compliance.</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11 INDUSTRIAL CYBERSECURITY &amp; ROLE-BASED ACCESS CONTROL</w:t>
      </w:r>
    </w:p>
    <w:p>
      <w:pPr>
        <w:keepNext w:val="0"/>
        <w:widowControl/>
        <w:spacing w:before="0" w:after="160" w:line="240" w:lineRule="auto"/>
      </w:pPr>
      <w:r/>
      <w:r>
        <w:rPr>
          <w:rFonts w:ascii="Aptos" w:hAnsi="Aptos"/>
          <w:b w:val="0"/>
          <w:color w:val="243C49"/>
          <w:sz w:val="21"/>
        </w:rPr>
        <w:t>The platform implements defense-in-depth security to protect critical municipal infrastructure against unauthorized access, telemetry manipulation, or denial-of-service disruptions.</w:t>
      </w:r>
    </w:p>
    <w:p>
      <w:pPr>
        <w:pStyle w:val="Heading2"/>
        <w:keepNext/>
        <w:pageBreakBefore w:val="0"/>
        <w:widowControl/>
        <w:spacing w:before="140" w:after="140" w:line="240" w:lineRule="auto"/>
        <w:ind w:left="0" w:right="0"/>
      </w:pPr>
      <w:r/>
      <w:r>
        <w:rPr>
          <w:rFonts w:ascii="Aptos" w:hAnsi="Aptos"/>
          <w:b/>
          <w:color w:val="007B8F"/>
          <w:sz w:val="25"/>
        </w:rPr>
        <w:t>11.1 Enterprise Security Architecture</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Identity Authentication</w:t>
      </w:r>
      <w:r>
        <w:rPr>
          <w:rFonts w:ascii="Aptos" w:hAnsi="Aptos"/>
          <w:b w:val="0"/>
          <w:color w:val="243C49"/>
          <w:sz w:val="21"/>
        </w:rPr>
        <w:t xml:space="preserve">  Encrypted password authentication with JSON Web Tokens (JWT) and a mandatory 12-hour automated session expiry.</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Role-Based Access Control (RBAC)</w:t>
      </w:r>
      <w:r>
        <w:rPr>
          <w:rFonts w:ascii="Aptos" w:hAnsi="Aptos"/>
          <w:b w:val="0"/>
          <w:color w:val="243C49"/>
          <w:sz w:val="21"/>
        </w:rPr>
        <w:t xml:space="preserve">  Hierarchical permissions strictly separating Administrator (configuration), Operator (monitoring &amp; alarms), and Viewer (read-only).</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Row-Level Security (RLS)</w:t>
      </w:r>
      <w:r>
        <w:rPr>
          <w:rFonts w:ascii="Aptos" w:hAnsi="Aptos"/>
          <w:b w:val="0"/>
          <w:color w:val="243C49"/>
          <w:sz w:val="21"/>
        </w:rPr>
        <w:t xml:space="preserve">  Database engine enforces table-level RLS policies, preventing unauthorized read or write access across project tenants.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Service-Role Ingestion Isolation</w:t>
      </w:r>
      <w:r>
        <w:rPr>
          <w:rFonts w:ascii="Aptos" w:hAnsi="Aptos"/>
          <w:b w:val="0"/>
          <w:color w:val="243C49"/>
          <w:sz w:val="21"/>
        </w:rPr>
        <w:t xml:space="preserve">  Telemetry ingestion and scheduled aggregator workers use isolated backend service roles inaccessible from client browsers.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Restricted Audit Updates</w:t>
      </w:r>
      <w:r>
        <w:rPr>
          <w:rFonts w:ascii="Aptos" w:hAnsi="Aptos"/>
          <w:b w:val="0"/>
          <w:color w:val="243C49"/>
          <w:sz w:val="21"/>
        </w:rPr>
        <w:t xml:space="preserve">  Alarm acknowledgment updates are cryptographically restricted to permitted acknowledgment fields only.</w:t>
      </w:r>
    </w:p>
    <w:p>
      <w:pPr>
        <w:pStyle w:val="Heading2"/>
        <w:keepNext/>
        <w:pageBreakBefore w:val="0"/>
        <w:widowControl/>
        <w:spacing w:before="140" w:after="140" w:line="240" w:lineRule="auto"/>
        <w:ind w:left="0" w:right="0"/>
      </w:pPr>
      <w:r/>
      <w:r>
        <w:rPr>
          <w:rFonts w:ascii="Aptos" w:hAnsi="Aptos"/>
          <w:b/>
          <w:color w:val="007B8F"/>
          <w:sz w:val="25"/>
        </w:rPr>
        <w:t>11.2 Network Transport and Secret Management</w:t>
      </w:r>
    </w:p>
    <w:p>
      <w:pPr>
        <w:keepNext w:val="0"/>
        <w:widowControl/>
        <w:spacing w:before="0" w:after="160" w:line="240" w:lineRule="auto"/>
      </w:pPr>
      <w:r/>
      <w:r>
        <w:rPr>
          <w:rFonts w:ascii="Aptos" w:hAnsi="Aptos"/>
          <w:b w:val="0"/>
          <w:color w:val="243C49"/>
          <w:sz w:val="21"/>
        </w:rPr>
        <w:t>All client-to-server web interactions are encrypted using HTTPS (TLS 1.3). MQTT edge communication utilizes secure broker authentication with project-isolated credentials.</w:t>
      </w:r>
    </w:p>
    <w:p>
      <w:pPr>
        <w:keepNext w:val="0"/>
        <w:widowControl/>
        <w:spacing w:before="0" w:after="160" w:line="240" w:lineRule="auto"/>
      </w:pPr>
      <w:r/>
      <w:r>
        <w:rPr>
          <w:rFonts w:ascii="Aptos" w:hAnsi="Aptos"/>
          <w:b w:val="0"/>
          <w:color w:val="243C49"/>
          <w:sz w:val="21"/>
        </w:rPr>
        <w:t>Production web builds exclude administrative database tokens and master secrets. Edge ingestion functions are secured via internal environment vaults, shielding database endpoints from browser inspection.</w:t>
      </w:r>
    </w:p>
    <w:p>
      <w:pPr>
        <w:keepNext w:val="0"/>
        <w:widowControl/>
        <w:spacing w:before="0" w:after="160" w:line="240" w:lineRule="auto"/>
      </w:pPr>
      <w:r/>
      <w:r>
        <w:rPr>
          <w:rFonts w:ascii="Aptos" w:hAnsi="Aptos"/>
          <w:b w:val="0"/>
          <w:color w:val="243C49"/>
          <w:sz w:val="21"/>
        </w:rPr>
        <w:t>Topic-level access control lists (ACLs) ensure that field RTU gateways can only publish to their authorized project topic hierarchies.</w:t>
      </w:r>
    </w:p>
    <w:p>
      <w:pPr>
        <w:pStyle w:val="Heading2"/>
        <w:keepNext/>
        <w:pageBreakBefore w:val="0"/>
        <w:widowControl/>
        <w:spacing w:before="140" w:after="140" w:line="240" w:lineRule="auto"/>
        <w:ind w:left="0" w:right="0"/>
      </w:pPr>
      <w:r/>
      <w:r>
        <w:rPr>
          <w:rFonts w:ascii="Aptos" w:hAnsi="Aptos"/>
          <w:b/>
          <w:color w:val="007B8F"/>
          <w:sz w:val="25"/>
        </w:rPr>
        <w:t>11.3 Audit Logging and User Accountability</w:t>
      </w:r>
    </w:p>
    <w:p>
      <w:pPr>
        <w:keepNext w:val="0"/>
        <w:widowControl/>
        <w:spacing w:before="0" w:after="160" w:line="240" w:lineRule="auto"/>
      </w:pPr>
      <w:r/>
      <w:r>
        <w:rPr>
          <w:rFonts w:ascii="Aptos" w:hAnsi="Aptos"/>
          <w:b w:val="0"/>
          <w:color w:val="243C49"/>
          <w:sz w:val="21"/>
        </w:rPr>
        <w:t>Administrative operations (alarm threshold changes, user creations, export triggers) generate timestamped audit logs. Operator alarm acknowledgments are recorded with user identity, ensuring complete operational accountability.</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12 DEPLOYMENT ARCHITECTURE &amp; CLOUD RELIABILITY</w:t>
      </w:r>
    </w:p>
    <w:p>
      <w:pPr>
        <w:keepNext w:val="0"/>
        <w:widowControl/>
        <w:spacing w:before="0" w:after="160" w:line="240" w:lineRule="auto"/>
      </w:pPr>
      <w:r/>
      <w:r>
        <w:rPr>
          <w:rFonts w:ascii="Aptos" w:hAnsi="Aptos"/>
          <w:b w:val="0"/>
          <w:color w:val="243C49"/>
          <w:sz w:val="21"/>
        </w:rPr>
        <w:t>System availability relies on coordinated operation across field automation, cellular communications, and managed cloud infrastructure. Operational boundaries and support responsibilities are defined below.</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2376"/>
        <w:gridCol w:w="6653"/>
      </w:tblGrid>
      <w:tr>
        <w:trPr>
          <w:cantSplit/>
          <w:tblHeader/>
        </w:trPr>
        <w:tc>
          <w:tcPr>
            <w:tcW w:type="dxa" w:w="2376"/>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System Layer / Dependency</w:t>
            </w:r>
          </w:p>
        </w:tc>
        <w:tc>
          <w:tcPr>
            <w:tcW w:type="dxa" w:w="6653"/>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Operational Engineering Requirement &amp; Responsibility</w:t>
            </w:r>
          </w:p>
        </w:tc>
      </w:tr>
      <w:tr>
        <w:trPr>
          <w:cantSplit/>
        </w:trPr>
        <w:tc>
          <w:tcPr>
            <w:tcW w:type="dxa" w:w="237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Field Instruments &amp; Sensors</w:t>
            </w:r>
          </w:p>
        </w:tc>
        <w:tc>
          <w:tcPr>
            <w:tcW w:type="dxa" w:w="665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Valid calibration certificates, 24VDC regulated power supply, surge protection, and verified scaling.</w:t>
            </w:r>
          </w:p>
        </w:tc>
      </w:tr>
      <w:tr>
        <w:trPr>
          <w:cantSplit/>
        </w:trPr>
        <w:tc>
          <w:tcPr>
            <w:tcW w:type="dxa" w:w="237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Site PLCs &amp; Local Control</w:t>
            </w:r>
          </w:p>
        </w:tc>
        <w:tc>
          <w:tcPr>
            <w:tcW w:type="dxa" w:w="6653"/>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Autonomous execution of all safety interlocks, motor permissives, and emergency shutdown routines.</w:t>
            </w:r>
          </w:p>
        </w:tc>
      </w:tr>
      <w:tr>
        <w:trPr>
          <w:cantSplit/>
        </w:trPr>
        <w:tc>
          <w:tcPr>
            <w:tcW w:type="dxa" w:w="237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Cellular 4G/5G DTU Gateways</w:t>
            </w:r>
          </w:p>
        </w:tc>
        <w:tc>
          <w:tcPr>
            <w:tcW w:type="dxa" w:w="665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Industrial SIM cards with active APN, correct MQTT broker IP/Port, keep-alive timers, and outdoor antennas.</w:t>
            </w:r>
          </w:p>
        </w:tc>
      </w:tr>
      <w:tr>
        <w:trPr>
          <w:cantSplit/>
        </w:trPr>
        <w:tc>
          <w:tcPr>
            <w:tcW w:type="dxa" w:w="237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Cloud MQTT Message Broker</w:t>
            </w:r>
          </w:p>
        </w:tc>
        <w:tc>
          <w:tcPr>
            <w:tcW w:type="dxa" w:w="6653"/>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High-throughput secure messaging broker with TLS encryption, client authentication, and topic access rules.</w:t>
            </w:r>
          </w:p>
        </w:tc>
      </w:tr>
      <w:tr>
        <w:trPr>
          <w:cantSplit/>
        </w:trPr>
        <w:tc>
          <w:tcPr>
            <w:tcW w:type="dxa" w:w="237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Supabase Cloud Database &amp; Workers</w:t>
            </w:r>
          </w:p>
        </w:tc>
        <w:tc>
          <w:tcPr>
            <w:tcW w:type="dxa" w:w="665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Durable PostgreSQL engine, 5-minute bucketing cron jobs, automated daily backups, and RLS security policies.</w:t>
            </w:r>
          </w:p>
        </w:tc>
      </w:tr>
      <w:tr>
        <w:trPr>
          <w:cantSplit/>
        </w:trPr>
        <w:tc>
          <w:tcPr>
            <w:tcW w:type="dxa" w:w="237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Web Hosting &amp; Browser Clients</w:t>
            </w:r>
          </w:p>
        </w:tc>
        <w:tc>
          <w:tcPr>
            <w:tcW w:type="dxa" w:w="6653"/>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Zero-client web deployment on secure HTTPS domain; accessible via Chrome, Edge, and Safari on desktop and mobile.</w:t>
            </w:r>
          </w:p>
        </w:tc>
      </w:tr>
      <w:tr>
        <w:trPr>
          <w:cantSplit/>
        </w:trPr>
        <w:tc>
          <w:tcPr>
            <w:tcW w:type="dxa" w:w="237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Government GIS Interface (MPGARUD)</w:t>
            </w:r>
          </w:p>
        </w:tc>
        <w:tc>
          <w:tcPr>
            <w:tcW w:type="dxa" w:w="665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Registered Vendor Key UADDORESREG022, IST timestamp harmonization, hourly cron sync, and delivery auditing.</w:t>
            </w:r>
          </w:p>
        </w:tc>
      </w:tr>
    </w:tbl>
    <w:p>
      <w:pPr>
        <w:keepNext w:val="0"/>
        <w:widowControl/>
        <w:spacing w:before="0" w:after="100" w:line="240" w:lineRule="auto"/>
      </w:pPr>
    </w:p>
    <w:p>
      <w:pPr>
        <w:pStyle w:val="Heading2"/>
        <w:keepNext/>
        <w:pageBreakBefore w:val="0"/>
        <w:widowControl/>
        <w:spacing w:before="140" w:after="140" w:line="240" w:lineRule="auto"/>
        <w:ind w:left="0" w:right="0"/>
      </w:pPr>
      <w:r/>
      <w:r>
        <w:rPr>
          <w:rFonts w:ascii="Aptos" w:hAnsi="Aptos"/>
          <w:b/>
          <w:color w:val="007B8F"/>
          <w:sz w:val="25"/>
        </w:rPr>
        <w:t>12.1 Deployment and Release Management</w:t>
      </w:r>
    </w:p>
    <w:p>
      <w:pPr>
        <w:keepNext w:val="0"/>
        <w:widowControl/>
        <w:spacing w:before="0" w:after="160" w:line="240" w:lineRule="auto"/>
      </w:pPr>
      <w:r/>
      <w:r>
        <w:rPr>
          <w:rFonts w:ascii="Aptos" w:hAnsi="Aptos"/>
          <w:b w:val="0"/>
          <w:color w:val="243C49"/>
          <w:sz w:val="21"/>
        </w:rPr>
        <w:t>Production software deployments utilize continuous integration (CI) pipelines. Database schema migrations are version-controlled, and edge functions are deployed with rollback support.</w:t>
      </w:r>
    </w:p>
    <w:p>
      <w:pPr>
        <w:keepNext w:val="0"/>
        <w:widowControl/>
        <w:spacing w:before="0" w:after="160" w:line="240" w:lineRule="auto"/>
      </w:pPr>
      <w:r/>
      <w:r>
        <w:rPr>
          <w:rFonts w:ascii="Aptos" w:hAnsi="Aptos"/>
          <w:b w:val="0"/>
          <w:color w:val="243C49"/>
          <w:sz w:val="21"/>
        </w:rPr>
        <w:t>Commissioning follows a validated release sequence: Field I/O -&gt; RTU Edge Gateway -&gt; MQTT Broker -&gt; Database Ingestion -&gt; Web SCADA Client -&gt; MPGARUD GIS.</w:t>
      </w:r>
    </w:p>
    <w:p>
      <w:pPr>
        <w:pStyle w:val="Heading2"/>
        <w:keepNext/>
        <w:pageBreakBefore w:val="0"/>
        <w:widowControl/>
        <w:spacing w:before="140" w:after="140" w:line="240" w:lineRule="auto"/>
        <w:ind w:left="0" w:right="0"/>
      </w:pPr>
      <w:r/>
      <w:r>
        <w:rPr>
          <w:rFonts w:ascii="Aptos" w:hAnsi="Aptos"/>
          <w:b/>
          <w:color w:val="007B8F"/>
          <w:sz w:val="25"/>
        </w:rPr>
        <w:t>12.2 High Availability and Disaster Recovery</w:t>
      </w:r>
    </w:p>
    <w:p>
      <w:pPr>
        <w:keepNext w:val="0"/>
        <w:widowControl/>
        <w:spacing w:before="0" w:after="160" w:line="240" w:lineRule="auto"/>
      </w:pPr>
      <w:r/>
      <w:r>
        <w:rPr>
          <w:rFonts w:ascii="Aptos" w:hAnsi="Aptos"/>
          <w:b w:val="0"/>
          <w:color w:val="243C49"/>
          <w:sz w:val="21"/>
        </w:rPr>
        <w:t>The cloud database provides automated daily snapshots, multi-zone replication, and point-in-time recovery. In the event of a cellular carrier outage, field RTU gateways buffer data locally and retransmit upon reconnection.</w:t>
      </w:r>
    </w:p>
    <w:p>
      <w:pPr>
        <w:keepNext w:val="0"/>
        <w:widowControl/>
        <w:spacing w:before="0" w:after="160" w:line="240" w:lineRule="auto"/>
      </w:pPr>
      <w:r/>
      <w:r>
        <w:rPr>
          <w:rFonts w:ascii="Aptos" w:hAnsi="Aptos"/>
          <w:b w:val="0"/>
          <w:color w:val="243C49"/>
          <w:sz w:val="21"/>
        </w:rPr>
        <w:t>Local plant operation remains 100% autonomous on site PLCs during network disruptions, ensuring uninterrupted municipal water supply.</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13 FACTORY (FAT) &amp; SITE ACCEPTANCE TESTING (SAT) MATRIX</w:t>
      </w:r>
    </w:p>
    <w:p>
      <w:pPr>
        <w:keepNext w:val="0"/>
        <w:widowControl/>
        <w:spacing w:before="0" w:after="160" w:line="240" w:lineRule="auto"/>
      </w:pPr>
      <w:r/>
      <w:r>
        <w:rPr>
          <w:rFonts w:ascii="Aptos" w:hAnsi="Aptos"/>
          <w:b w:val="0"/>
          <w:color w:val="243C49"/>
          <w:sz w:val="21"/>
        </w:rPr>
        <w:t>A rigorous 10-point verification checklist governs system acceptance across all project sites. Testing demonstrates end-to-end signal accuracy, fail-safe communication recovery, and compliance reporting before commercial handover.</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1987"/>
        <w:gridCol w:w="7042"/>
      </w:tblGrid>
      <w:tr>
        <w:trPr>
          <w:cantSplit/>
          <w:tblHeader/>
        </w:trPr>
        <w:tc>
          <w:tcPr>
            <w:tcW w:type="dxa" w:w="1987"/>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Test Group / Verification Step</w:t>
            </w:r>
          </w:p>
        </w:tc>
        <w:tc>
          <w:tcPr>
            <w:tcW w:type="dxa" w:w="7042"/>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Required Demonstration &amp; Acceptance Criteria</w:t>
            </w:r>
          </w:p>
        </w:tc>
      </w:tr>
      <w:tr>
        <w:trPr>
          <w:cantSplit/>
        </w:trPr>
        <w:tc>
          <w:tcPr>
            <w:tcW w:type="dxa" w:w="198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1. Signal Loop &amp; Tag Calibration</w:t>
            </w:r>
          </w:p>
        </w:tc>
        <w:tc>
          <w:tcPr>
            <w:tcW w:type="dxa" w:w="704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Inject simulated 4-20mA signals at transmitter terminals; verify exact match across PLC, RTU JSON, and SCADA screen.</w:t>
            </w:r>
          </w:p>
        </w:tc>
      </w:tr>
      <w:tr>
        <w:trPr>
          <w:cantSplit/>
        </w:trPr>
        <w:tc>
          <w:tcPr>
            <w:tcW w:type="dxa" w:w="198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2. Derived Pump &amp; Valve Indicators</w:t>
            </w:r>
          </w:p>
        </w:tc>
        <w:tc>
          <w:tcPr>
            <w:tcW w:type="dxa" w:w="704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Start and stop physical pumps; confirm pressure-derived running feedback transitions and OHT virtual valve states.</w:t>
            </w:r>
          </w:p>
        </w:tc>
      </w:tr>
      <w:tr>
        <w:trPr>
          <w:cantSplit/>
        </w:trPr>
        <w:tc>
          <w:tcPr>
            <w:tcW w:type="dxa" w:w="198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3. Telemetry Freshness &amp; Fail-Safe</w:t>
            </w:r>
          </w:p>
        </w:tc>
        <w:tc>
          <w:tcPr>
            <w:tcW w:type="dxa" w:w="704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Simulate sensor disconnection; verify display of Valid Zero, Stale Warning (5 min), and Offline red badge (15 min).</w:t>
            </w:r>
          </w:p>
        </w:tc>
      </w:tr>
      <w:tr>
        <w:trPr>
          <w:cantSplit/>
        </w:trPr>
        <w:tc>
          <w:tcPr>
            <w:tcW w:type="dxa" w:w="198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4. Autonomous Server Ingestion</w:t>
            </w:r>
          </w:p>
        </w:tc>
        <w:tc>
          <w:tcPr>
            <w:tcW w:type="dxa" w:w="704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Close all operator browser sessions; verify server background workers continue 24/7 logging to PostgreSQL database.</w:t>
            </w:r>
          </w:p>
        </w:tc>
      </w:tr>
      <w:tr>
        <w:trPr>
          <w:cantSplit/>
        </w:trPr>
        <w:tc>
          <w:tcPr>
            <w:tcW w:type="dxa" w:w="198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5. Historian Bucketing &amp; Deduplication</w:t>
            </w:r>
          </w:p>
        </w:tc>
        <w:tc>
          <w:tcPr>
            <w:tcW w:type="dxa" w:w="704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Trigger rapid network retries; verify that historian records exactly one row per tag per 5-minute time bucket.</w:t>
            </w:r>
          </w:p>
        </w:tc>
      </w:tr>
      <w:tr>
        <w:trPr>
          <w:cantSplit/>
        </w:trPr>
        <w:tc>
          <w:tcPr>
            <w:tcW w:type="dxa" w:w="198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6. Alarm Trip &amp; Acknowledgment Workflow</w:t>
            </w:r>
          </w:p>
        </w:tc>
        <w:tc>
          <w:tcPr>
            <w:tcW w:type="dxa" w:w="704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Cross High/Low process thresholds; verify audio buzzer, visual blinking banner, repeat suppression, and user sign-off.</w:t>
            </w:r>
          </w:p>
        </w:tc>
      </w:tr>
      <w:tr>
        <w:trPr>
          <w:cantSplit/>
        </w:trPr>
        <w:tc>
          <w:tcPr>
            <w:tcW w:type="dxa" w:w="198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7. Volumetric Totalizer Reconciliation</w:t>
            </w:r>
          </w:p>
        </w:tc>
        <w:tc>
          <w:tcPr>
            <w:tcW w:type="dxa" w:w="704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Compare bulk flowmeter totalizer readings with SCADA shift summaries, hourly consumption bars, and daily totals.</w:t>
            </w:r>
          </w:p>
        </w:tc>
      </w:tr>
      <w:tr>
        <w:trPr>
          <w:cantSplit/>
        </w:trPr>
        <w:tc>
          <w:tcPr>
            <w:tcW w:type="dxa" w:w="198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8. Government MPGARUD API Sync</w:t>
            </w:r>
          </w:p>
        </w:tc>
        <w:tc>
          <w:tcPr>
            <w:tcW w:type="dxa" w:w="704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Trigger scheduled GIS synchronization; verify valid JSON schema, IST timestamp, MLD flow conversion, and HTTP 200 receipt.</w:t>
            </w:r>
          </w:p>
        </w:tc>
      </w:tr>
      <w:tr>
        <w:trPr>
          <w:cantSplit/>
        </w:trPr>
        <w:tc>
          <w:tcPr>
            <w:tcW w:type="dxa" w:w="198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9. Cybersecurity &amp; Access Control</w:t>
            </w:r>
          </w:p>
        </w:tc>
        <w:tc>
          <w:tcPr>
            <w:tcW w:type="dxa" w:w="704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Test Operator vs Admin logins; confirm operators cannot alter alarm limits or delete logs; verify 12-hour timeout.</w:t>
            </w:r>
          </w:p>
        </w:tc>
      </w:tr>
      <w:tr>
        <w:trPr>
          <w:cantSplit/>
        </w:trPr>
        <w:tc>
          <w:tcPr>
            <w:tcW w:type="dxa" w:w="198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10. Automated Shift Report Export</w:t>
            </w:r>
          </w:p>
        </w:tc>
        <w:tc>
          <w:tcPr>
            <w:tcW w:type="dxa" w:w="704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Generate 24-hour shift report; verify formatted Excel (.xlsx) download contains correct plant headers and timestamps.</w:t>
            </w:r>
          </w:p>
        </w:tc>
      </w:tr>
    </w:tbl>
    <w:p>
      <w:pPr>
        <w:keepNext w:val="0"/>
        <w:widowControl/>
        <w:spacing w:before="0" w:after="100" w:line="240" w:lineRule="auto"/>
      </w:pPr>
    </w:p>
    <w:p>
      <w:pPr>
        <w:pStyle w:val="Heading2"/>
        <w:keepNext/>
        <w:pageBreakBefore w:val="0"/>
        <w:widowControl/>
        <w:spacing w:before="140" w:after="140" w:line="240" w:lineRule="auto"/>
        <w:ind w:left="0" w:right="0"/>
      </w:pPr>
      <w:r/>
      <w:r>
        <w:rPr>
          <w:rFonts w:ascii="Aptos" w:hAnsi="Aptos"/>
          <w:b/>
          <w:color w:val="007B8F"/>
          <w:sz w:val="25"/>
        </w:rPr>
        <w:t>13.1 Auxiliary System Verification</w:t>
      </w:r>
    </w:p>
    <w:p>
      <w:pPr>
        <w:keepNext w:val="0"/>
        <w:widowControl/>
        <w:spacing w:before="0" w:after="160" w:line="240" w:lineRule="auto"/>
      </w:pPr>
      <w:r/>
      <w:r>
        <w:rPr>
          <w:rFonts w:ascii="Aptos" w:hAnsi="Aptos"/>
          <w:b w:val="0"/>
          <w:color w:val="243C49"/>
          <w:sz w:val="21"/>
        </w:rPr>
        <w:t>Testing confirms secondary features: SMTP email alert delivery, automatic Excel export generation, mobile browser responsiveness, and multi-monitor layout stability.</w:t>
      </w:r>
    </w:p>
    <w:p>
      <w:pPr>
        <w:pStyle w:val="Heading2"/>
        <w:keepNext/>
        <w:pageBreakBefore w:val="0"/>
        <w:widowControl/>
        <w:spacing w:before="140" w:after="140" w:line="240" w:lineRule="auto"/>
        <w:ind w:left="0" w:right="0"/>
      </w:pPr>
      <w:r/>
      <w:r>
        <w:rPr>
          <w:rFonts w:ascii="Aptos" w:hAnsi="Aptos"/>
          <w:b/>
          <w:color w:val="007B8F"/>
          <w:sz w:val="25"/>
        </w:rPr>
        <w:t>13.2 Handover Acceptance Protocol</w:t>
      </w:r>
    </w:p>
    <w:p>
      <w:pPr>
        <w:keepNext w:val="0"/>
        <w:widowControl/>
        <w:spacing w:before="0" w:after="160" w:line="240" w:lineRule="auto"/>
      </w:pPr>
      <w:r/>
      <w:r>
        <w:rPr>
          <w:rFonts w:ascii="Aptos" w:hAnsi="Aptos"/>
          <w:b w:val="0"/>
          <w:color w:val="243C49"/>
          <w:sz w:val="21"/>
        </w:rPr>
        <w:t>All test results, measured signal values, and communication recovery timings are documented in the site commissioning dossier, signed by Orbit engineers and client witnesses.</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14 MAINTENANCE, DIAGNOSTICS &amp; TROUBLESHOOTING GUIDE</w:t>
      </w:r>
    </w:p>
    <w:p>
      <w:pPr>
        <w:keepNext w:val="0"/>
        <w:widowControl/>
        <w:spacing w:before="0" w:after="160" w:line="240" w:lineRule="auto"/>
      </w:pPr>
      <w:r/>
      <w:r>
        <w:rPr>
          <w:rFonts w:ascii="Aptos" w:hAnsi="Aptos"/>
          <w:b w:val="0"/>
          <w:color w:val="243C49"/>
          <w:sz w:val="21"/>
        </w:rPr>
        <w:t>A structured diagnostic methodology accelerates fault isolation across field instrumentation, cellular telemetry, and software layers. Maintenance teams refer to the symptom-cause-action table below.</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2880"/>
        <w:gridCol w:w="6149"/>
      </w:tblGrid>
      <w:tr>
        <w:trPr>
          <w:cantSplit/>
          <w:tblHeader/>
        </w:trPr>
        <w:tc>
          <w:tcPr>
            <w:tcW w:type="dxa" w:w="2880"/>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Observed System Symptom</w:t>
            </w:r>
          </w:p>
        </w:tc>
        <w:tc>
          <w:tcPr>
            <w:tcW w:type="dxa" w:w="6149"/>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Root-Cause Investigation &amp; Corrective Action Protocol</w:t>
            </w:r>
          </w:p>
        </w:tc>
      </w:tr>
      <w:tr>
        <w:trPr>
          <w:cantSplit/>
        </w:trPr>
        <w:tc>
          <w:tcPr>
            <w:tcW w:type="dxa" w:w="288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All station values display Delayed/Offline</w:t>
            </w:r>
          </w:p>
        </w:tc>
        <w:tc>
          <w:tcPr>
            <w:tcW w:type="dxa" w:w="614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Inspect 4G DTU power and cellular LED; check SIM balance/APN; verify MQTT broker service status and server collector cron.</w:t>
            </w:r>
          </w:p>
        </w:tc>
      </w:tr>
      <w:tr>
        <w:trPr>
          <w:cantSplit/>
        </w:trPr>
        <w:tc>
          <w:tcPr>
            <w:tcW w:type="dxa" w:w="288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Single instrument displays zero or fault</w:t>
            </w:r>
          </w:p>
        </w:tc>
        <w:tc>
          <w:tcPr>
            <w:tcW w:type="dxa" w:w="614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Check 24VDC loop power at transmitter; inspect cable continuity; verify PLC analog channel and RTU Modbus register mapping.</w:t>
            </w:r>
          </w:p>
        </w:tc>
      </w:tr>
      <w:tr>
        <w:trPr>
          <w:cantSplit/>
        </w:trPr>
        <w:tc>
          <w:tcPr>
            <w:tcW w:type="dxa" w:w="288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Unexpected Valid Zero reading</w:t>
            </w:r>
          </w:p>
        </w:tc>
        <w:tc>
          <w:tcPr>
            <w:tcW w:type="dxa" w:w="614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Inspect physical pipeline state; confirm pump is stopped or valve closed; verify sensor deadband settings in software.</w:t>
            </w:r>
          </w:p>
        </w:tc>
      </w:tr>
      <w:tr>
        <w:trPr>
          <w:cantSplit/>
        </w:trPr>
        <w:tc>
          <w:tcPr>
            <w:tcW w:type="dxa" w:w="288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Pump mimic does not indicate running</w:t>
            </w:r>
          </w:p>
        </w:tc>
        <w:tc>
          <w:tcPr>
            <w:tcW w:type="dxa" w:w="614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Check discharge pressure transmitter; verify pressure exceeds the 1.5 bar threshold; inspect local pump starter feedback.</w:t>
            </w:r>
          </w:p>
        </w:tc>
      </w:tr>
      <w:tr>
        <w:trPr>
          <w:cantSplit/>
        </w:trPr>
        <w:tc>
          <w:tcPr>
            <w:tcW w:type="dxa" w:w="288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Discrepancy in water volume totals</w:t>
            </w:r>
          </w:p>
        </w:tc>
        <w:tc>
          <w:tcPr>
            <w:tcW w:type="dxa" w:w="614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Check totalizer rollover/reset; verify continuous communication without telemetry gaps; reconcile with field meter index.</w:t>
            </w:r>
          </w:p>
        </w:tc>
      </w:tr>
      <w:tr>
        <w:trPr>
          <w:cantSplit/>
        </w:trPr>
        <w:tc>
          <w:tcPr>
            <w:tcW w:type="dxa" w:w="288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Historian records show gap intervals</w:t>
            </w:r>
          </w:p>
        </w:tc>
        <w:tc>
          <w:tcPr>
            <w:tcW w:type="dxa" w:w="614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Check cellular carrier downtime logs; verify DTU buffer retransmission; inspect cloud database capacity and worker execution logs.</w:t>
            </w:r>
          </w:p>
        </w:tc>
      </w:tr>
      <w:tr>
        <w:trPr>
          <w:cantSplit/>
        </w:trPr>
        <w:tc>
          <w:tcPr>
            <w:tcW w:type="dxa" w:w="2880"/>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MPGARUD GIS submission rejected</w:t>
            </w:r>
          </w:p>
        </w:tc>
        <w:tc>
          <w:tcPr>
            <w:tcW w:type="dxa" w:w="6149"/>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Review GIS Sync Status log; verify Vendor Key UADDORESREG022; check device IDs and ensure all data is within the 15-min freshness gate.</w:t>
            </w:r>
          </w:p>
        </w:tc>
      </w:tr>
      <w:tr>
        <w:trPr>
          <w:cantSplit/>
        </w:trPr>
        <w:tc>
          <w:tcPr>
            <w:tcW w:type="dxa" w:w="2880"/>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Operator unable to access functions</w:t>
            </w:r>
          </w:p>
        </w:tc>
        <w:tc>
          <w:tcPr>
            <w:tcW w:type="dxa" w:w="6149"/>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Verify user account active status; confirm assigned RBAC role (Admin vs Operator); check session expiration.</w:t>
            </w:r>
          </w:p>
        </w:tc>
      </w:tr>
    </w:tbl>
    <w:p>
      <w:pPr>
        <w:keepNext w:val="0"/>
        <w:widowControl/>
        <w:spacing w:before="0" w:after="100" w:line="240" w:lineRule="auto"/>
      </w:pPr>
    </w:p>
    <w:p>
      <w:pPr>
        <w:pStyle w:val="Heading2"/>
        <w:keepNext/>
        <w:pageBreakBefore w:val="0"/>
        <w:widowControl/>
        <w:spacing w:before="140" w:after="140" w:line="240" w:lineRule="auto"/>
        <w:ind w:left="0" w:right="0"/>
      </w:pPr>
      <w:r/>
      <w:r>
        <w:rPr>
          <w:rFonts w:ascii="Aptos" w:hAnsi="Aptos"/>
          <w:b/>
          <w:color w:val="007B8F"/>
          <w:sz w:val="25"/>
        </w:rPr>
        <w:t>14.1 Routine Preventative Maintenance</w:t>
      </w:r>
    </w:p>
    <w:p>
      <w:pPr>
        <w:keepNext w:val="0"/>
        <w:widowControl/>
        <w:spacing w:before="0" w:after="160" w:line="240" w:lineRule="auto"/>
      </w:pPr>
      <w:r/>
      <w:r>
        <w:rPr>
          <w:rFonts w:ascii="Aptos" w:hAnsi="Aptos"/>
          <w:b w:val="0"/>
          <w:color w:val="243C49"/>
          <w:sz w:val="21"/>
        </w:rPr>
        <w:t>Daily checks: Review telemetry freshness, investigate unacknowledged alarms, verify collector run logs, and inspect MPGARUD delivery status. Monthly checks: Reconcile bulk flow totalizers, review database storage quotas, and test automated Excel report generation.</w:t>
      </w:r>
    </w:p>
    <w:p>
      <w:pPr>
        <w:pStyle w:val="Heading2"/>
        <w:keepNext/>
        <w:pageBreakBefore w:val="0"/>
        <w:widowControl/>
        <w:spacing w:before="140" w:after="140" w:line="240" w:lineRule="auto"/>
        <w:ind w:left="0" w:right="0"/>
      </w:pPr>
      <w:r/>
      <w:r>
        <w:rPr>
          <w:rFonts w:ascii="Aptos" w:hAnsi="Aptos"/>
          <w:b/>
          <w:color w:val="007B8F"/>
          <w:sz w:val="25"/>
        </w:rPr>
        <w:t>14.2 Engineering Change Management</w:t>
      </w:r>
    </w:p>
    <w:p>
      <w:pPr>
        <w:keepNext w:val="0"/>
        <w:widowControl/>
        <w:spacing w:before="0" w:after="160" w:line="240" w:lineRule="auto"/>
      </w:pPr>
      <w:r/>
      <w:r>
        <w:rPr>
          <w:rFonts w:ascii="Aptos" w:hAnsi="Aptos"/>
          <w:b w:val="0"/>
          <w:color w:val="243C49"/>
          <w:sz w:val="21"/>
        </w:rPr>
        <w:t>Modifications to instrument calibrations, RTU payload structures, alarm setpoints, or user permissions follow formal engineering change requests. Changes are logged with author, rationale, and date.</w:t>
      </w:r>
    </w:p>
    <w:p>
      <w:pPr>
        <w:keepNext w:val="0"/>
        <w:widowControl/>
        <w:spacing w:before="0" w:after="160" w:line="240" w:lineRule="auto"/>
      </w:pPr>
      <w:r/>
      <w:r>
        <w:rPr>
          <w:rFonts w:ascii="Aptos" w:hAnsi="Aptos"/>
          <w:b w:val="0"/>
          <w:color w:val="243C49"/>
          <w:sz w:val="21"/>
        </w:rPr>
        <w:t>Before implementing software modifications, the active release configuration is backed up to guarantee immediate rollback capability.</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15 PROJECT HANDOVER &amp; AS-BUILT DOCUMENTATION</w:t>
      </w:r>
    </w:p>
    <w:p>
      <w:pPr>
        <w:keepNext w:val="0"/>
        <w:widowControl/>
        <w:spacing w:before="0" w:after="160" w:line="240" w:lineRule="auto"/>
      </w:pPr>
      <w:r/>
      <w:r>
        <w:rPr>
          <w:rFonts w:ascii="Aptos" w:hAnsi="Aptos"/>
          <w:b w:val="0"/>
          <w:color w:val="243C49"/>
          <w:sz w:val="21"/>
        </w:rPr>
        <w:t>Formal project handover requires comprehensive documentation, verified source backups, and signed acceptance certificates confirming system compliance with tender specifications.</w:t>
      </w:r>
    </w:p>
    <w:p>
      <w:pPr>
        <w:pStyle w:val="Heading2"/>
        <w:keepNext/>
        <w:pageBreakBefore w:val="0"/>
        <w:widowControl/>
        <w:spacing w:before="140" w:after="140" w:line="240" w:lineRule="auto"/>
        <w:ind w:left="0" w:right="0"/>
      </w:pPr>
      <w:r/>
      <w:r>
        <w:rPr>
          <w:rFonts w:ascii="Aptos" w:hAnsi="Aptos"/>
          <w:b/>
          <w:color w:val="007B8F"/>
          <w:sz w:val="25"/>
        </w:rPr>
        <w:t>15.1 Handover Deliverables Dossier</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SCADA Application Software</w:t>
      </w:r>
      <w:r>
        <w:rPr>
          <w:rFonts w:ascii="Aptos" w:hAnsi="Aptos"/>
          <w:b w:val="0"/>
          <w:color w:val="243C49"/>
          <w:sz w:val="21"/>
        </w:rPr>
        <w:t xml:space="preserve">  Validated production deployment release, repository baseline tag, and cloud configuration.</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PLC &amp; Gateway Backups</w:t>
      </w:r>
      <w:r>
        <w:rPr>
          <w:rFonts w:ascii="Aptos" w:hAnsi="Aptos"/>
          <w:b w:val="0"/>
          <w:color w:val="243C49"/>
          <w:sz w:val="21"/>
        </w:rPr>
        <w:t xml:space="preserve">  Fully documented PLC source code, HMI project files, and 4G DTU gateway parameter backups.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I/O &amp; MQTT Tag Schedule</w:t>
      </w:r>
      <w:r>
        <w:rPr>
          <w:rFonts w:ascii="Aptos" w:hAnsi="Aptos"/>
          <w:b w:val="0"/>
          <w:color w:val="243C49"/>
          <w:sz w:val="21"/>
        </w:rPr>
        <w:t xml:space="preserve">  Comprehensive field signal schedule, Modbus register mappings, and MQTT topic dictionary.</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Alarm &amp; Interlock Philosophy</w:t>
      </w:r>
      <w:r>
        <w:rPr>
          <w:rFonts w:ascii="Aptos" w:hAnsi="Aptos"/>
          <w:b w:val="0"/>
          <w:color w:val="243C49"/>
          <w:sz w:val="21"/>
        </w:rPr>
        <w:t xml:space="preserve">  Approved threshold settings, interlock logic matrices, and escalation protocols.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Historian &amp; Retention Records</w:t>
      </w:r>
      <w:r>
        <w:rPr>
          <w:rFonts w:ascii="Aptos" w:hAnsi="Aptos"/>
          <w:b w:val="0"/>
          <w:color w:val="243C49"/>
          <w:sz w:val="21"/>
        </w:rPr>
        <w:t xml:space="preserve">  Database schema definitions, 5-minute bucketing specifications, and archive procedures.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Government GIS Evidence</w:t>
      </w:r>
      <w:r>
        <w:rPr>
          <w:rFonts w:ascii="Aptos" w:hAnsi="Aptos"/>
          <w:b w:val="0"/>
          <w:color w:val="243C49"/>
          <w:sz w:val="21"/>
        </w:rPr>
        <w:t xml:space="preserve">  MPGARUD payload mapping approvals, unit conversion verifications, and delivery receipts.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Commissioning Test Dossier</w:t>
      </w:r>
      <w:r>
        <w:rPr>
          <w:rFonts w:ascii="Aptos" w:hAnsi="Aptos"/>
          <w:b w:val="0"/>
          <w:color w:val="243C49"/>
          <w:sz w:val="21"/>
        </w:rPr>
        <w:t xml:space="preserve">  Signed FAT and SAT verification sheets, signal loop checks, and punch-point closures.</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Security &amp; Ownership Transfer</w:t>
      </w:r>
      <w:r>
        <w:rPr>
          <w:rFonts w:ascii="Aptos" w:hAnsi="Aptos"/>
          <w:b w:val="0"/>
          <w:color w:val="243C49"/>
          <w:sz w:val="21"/>
        </w:rPr>
        <w:t xml:space="preserve">  Super-admin credential handover, role assignments, and escalation directory.</w:t>
      </w:r>
    </w:p>
    <w:p>
      <w:pPr>
        <w:keepNext w:val="0"/>
        <w:widowControl/>
        <w:spacing w:before="0" w:after="100" w:line="240" w:lineRule="auto"/>
        <w:ind w:left="331" w:hanging="259"/>
      </w:pPr>
      <w:r/>
      <w:r>
        <w:rPr>
          <w:rFonts w:ascii="Aptos" w:hAnsi="Aptos"/>
          <w:b/>
          <w:color w:val="007B8F"/>
          <w:sz w:val="21"/>
        </w:rPr>
        <w:t xml:space="preserve">•  </w:t>
      </w:r>
      <w:r>
        <w:rPr>
          <w:rFonts w:ascii="Aptos" w:hAnsi="Aptos"/>
          <w:b/>
          <w:color w:val="005683"/>
          <w:sz w:val="21"/>
        </w:rPr>
        <w:t>Operator Training &amp; SOPs</w:t>
      </w:r>
      <w:r>
        <w:rPr>
          <w:rFonts w:ascii="Aptos" w:hAnsi="Aptos"/>
          <w:b w:val="0"/>
          <w:color w:val="243C49"/>
          <w:sz w:val="21"/>
        </w:rPr>
        <w:t xml:space="preserve">  Training attendance sheets, operator manuals, and preventative maintenance logs.</w:t>
      </w:r>
    </w:p>
    <w:p>
      <w:pPr>
        <w:pStyle w:val="Heading2"/>
        <w:keepNext/>
        <w:pageBreakBefore w:val="0"/>
        <w:widowControl/>
        <w:spacing w:before="140" w:after="140" w:line="240" w:lineRule="auto"/>
        <w:ind w:left="0" w:right="0"/>
      </w:pPr>
      <w:r/>
      <w:r>
        <w:rPr>
          <w:rFonts w:ascii="Aptos" w:hAnsi="Aptos"/>
          <w:b/>
          <w:color w:val="007B8F"/>
          <w:sz w:val="25"/>
        </w:rPr>
        <w:t>15.2 Project Release and Acceptance Record</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3197"/>
        <w:gridCol w:w="5832"/>
      </w:tblGrid>
      <w:tr>
        <w:trPr>
          <w:cantSplit/>
          <w:tblHeader/>
        </w:trPr>
        <w:tc>
          <w:tcPr>
            <w:tcW w:type="dxa" w:w="3197"/>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Project Acceptance Field</w:t>
            </w:r>
          </w:p>
        </w:tc>
        <w:tc>
          <w:tcPr>
            <w:tcW w:type="dxa" w:w="5832"/>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Project Engineering Record &amp; Formal Entry</w:t>
            </w:r>
          </w:p>
        </w:tc>
      </w:tr>
      <w:tr>
        <w:trPr>
          <w:cantSplit/>
        </w:trPr>
        <w:tc>
          <w:tcPr>
            <w:tcW w:type="dxa" w:w="319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Software Deployment Release ID</w:t>
            </w:r>
          </w:p>
        </w:tc>
        <w:tc>
          <w:tcPr>
            <w:tcW w:type="dxa" w:w="583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OES-WEBSCADA-v2.4-PROD (Enterprise Fleet Baseline)</w:t>
            </w:r>
          </w:p>
        </w:tc>
      </w:tr>
      <w:tr>
        <w:trPr>
          <w:cantSplit/>
        </w:trPr>
        <w:tc>
          <w:tcPr>
            <w:tcW w:type="dxa" w:w="319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Site Commissioning Report Reference</w:t>
            </w:r>
          </w:p>
        </w:tc>
        <w:tc>
          <w:tcPr>
            <w:tcW w:type="dxa" w:w="583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OES/COMM/2026-27/SAT-VERIFIED</w:t>
            </w:r>
          </w:p>
        </w:tc>
      </w:tr>
      <w:tr>
        <w:trPr>
          <w:cantSplit/>
        </w:trPr>
        <w:tc>
          <w:tcPr>
            <w:tcW w:type="dxa" w:w="319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Punch-Point Clearance Reference</w:t>
            </w:r>
          </w:p>
        </w:tc>
        <w:tc>
          <w:tcPr>
            <w:tcW w:type="dxa" w:w="583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OES/PUNCH/2026/ALL-CLOSED</w:t>
            </w:r>
          </w:p>
        </w:tc>
      </w:tr>
      <w:tr>
        <w:trPr>
          <w:cantSplit/>
        </w:trPr>
        <w:tc>
          <w:tcPr>
            <w:tcW w:type="dxa" w:w="319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Commercial Operational Handover Date</w:t>
            </w:r>
          </w:p>
        </w:tc>
        <w:tc>
          <w:tcPr>
            <w:tcW w:type="dxa" w:w="583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08 October 2026</w:t>
            </w:r>
          </w:p>
        </w:tc>
      </w:tr>
    </w:tbl>
    <w:p>
      <w:pPr>
        <w:keepNext w:val="0"/>
        <w:widowControl/>
        <w:spacing w:before="0" w:after="100" w:line="240" w:lineRule="auto"/>
      </w:pPr>
    </w:p>
    <w:p>
      <w:pPr>
        <w:pStyle w:val="Heading2"/>
        <w:keepNext/>
        <w:pageBreakBefore w:val="0"/>
        <w:widowControl/>
        <w:spacing w:before="140" w:after="140" w:line="240" w:lineRule="auto"/>
        <w:ind w:left="0" w:right="0"/>
      </w:pPr>
      <w:r/>
      <w:r>
        <w:rPr>
          <w:rFonts w:ascii="Aptos" w:hAnsi="Aptos"/>
          <w:b/>
          <w:color w:val="007B8F"/>
          <w:sz w:val="25"/>
        </w:rPr>
        <w:t>15.3 Engineering Authorization and Sign-Off</w:t>
      </w:r>
    </w:p>
    <w:p>
      <w:pPr>
        <w:keepNext w:val="0"/>
        <w:widowControl/>
        <w:spacing w:before="0" w:after="60" w:line="240" w:lineRule="auto"/>
      </w:pPr>
      <w:r/>
      <w:r>
        <w:rPr>
          <w:rFonts w:ascii="Aptos" w:hAnsi="Aptos"/>
          <w:b/>
          <w:color w:val="005683"/>
          <w:sz w:val="22"/>
        </w:rPr>
        <w:t>For Orbit Engineering Solutions</w:t>
      </w:r>
    </w:p>
    <w:p>
      <w:pPr>
        <w:keepNext w:val="0"/>
        <w:widowControl/>
        <w:spacing w:before="0" w:after="240" w:line="240" w:lineRule="auto"/>
      </w:pPr>
      <w:r/>
      <w:r>
        <w:rPr>
          <w:rFonts w:ascii="Aptos" w:hAnsi="Aptos"/>
          <w:b w:val="0"/>
          <w:color w:val="243C49"/>
          <w:sz w:val="21"/>
        </w:rPr>
        <w:t>Authorized Signatory: ________________________   Date: ________________________</w:t>
      </w:r>
    </w:p>
    <w:p>
      <w:pPr>
        <w:keepNext w:val="0"/>
        <w:widowControl/>
        <w:spacing w:before="0" w:after="60" w:line="240" w:lineRule="auto"/>
      </w:pPr>
      <w:r/>
      <w:r>
        <w:rPr>
          <w:rFonts w:ascii="Aptos" w:hAnsi="Aptos"/>
          <w:b/>
          <w:color w:val="005683"/>
          <w:sz w:val="22"/>
        </w:rPr>
        <w:t>For Client / Project Authority</w:t>
      </w:r>
    </w:p>
    <w:p>
      <w:pPr>
        <w:keepNext w:val="0"/>
        <w:widowControl/>
        <w:spacing w:before="0" w:after="0" w:line="240" w:lineRule="auto"/>
      </w:pPr>
      <w:r/>
      <w:r>
        <w:rPr>
          <w:rFonts w:ascii="Aptos" w:hAnsi="Aptos"/>
          <w:b w:val="0"/>
          <w:color w:val="243C49"/>
          <w:sz w:val="21"/>
        </w:rPr>
        <w:t>Authorized Signatory: ________________________   Date: ________________________</w:t>
      </w:r>
    </w:p>
    <w:p>
      <w:pPr>
        <w:pStyle w:val="Heading1"/>
        <w:keepNext/>
        <w:pageBreakBefore/>
        <w:widowControl/>
        <w:spacing w:before="0" w:after="260" w:line="240" w:lineRule="auto"/>
        <w:ind w:left="86" w:right="86"/>
        <w:shd w:val="clear" w:color="auto" w:fill="005683"/>
        <w:pBdr>
          <w:top w:val="single" w:color="005683" w:sz="8" w:space="4"/>
          <w:left w:val="single" w:color="005683" w:sz="8" w:space="4"/>
          <w:bottom w:val="single" w:color="00A4BD" w:sz="24" w:space="4"/>
          <w:right w:val="single" w:color="005683" w:sz="8" w:space="4"/>
        </w:pBdr>
      </w:pPr>
      <w:r/>
      <w:r>
        <w:rPr>
          <w:rFonts w:ascii="Aptos" w:hAnsi="Aptos"/>
          <w:b/>
          <w:color w:val="FFFFFF"/>
          <w:sz w:val="27"/>
        </w:rPr>
        <w:t>ANNEXURE A MODULE STATUS AND TERMINOLOGY</w:t>
      </w:r>
    </w:p>
    <w:p>
      <w:pPr>
        <w:keepNext w:val="0"/>
        <w:widowControl/>
        <w:spacing w:before="0" w:after="160" w:line="240" w:lineRule="auto"/>
      </w:pPr>
      <w:r/>
      <w:r>
        <w:rPr>
          <w:rFonts w:ascii="Aptos" w:hAnsi="Aptos"/>
          <w:b w:val="0"/>
          <w:color w:val="243C49"/>
          <w:sz w:val="21"/>
        </w:rPr>
        <w:t>Module capability status defines standard vs optional features across Orbit Web SCADA deployments. Final commissioned scope is recorded in site acceptance records.</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2736"/>
        <w:gridCol w:w="6293"/>
      </w:tblGrid>
      <w:tr>
        <w:trPr>
          <w:cantSplit/>
          <w:tblHeader/>
        </w:trPr>
        <w:tc>
          <w:tcPr>
            <w:tcW w:type="dxa" w:w="2736"/>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Platform Functional Module</w:t>
            </w:r>
          </w:p>
        </w:tc>
        <w:tc>
          <w:tcPr>
            <w:tcW w:type="dxa" w:w="6293"/>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Enterprise Implementation Scope &amp; Operational Readiness</w:t>
            </w:r>
          </w:p>
        </w:tc>
      </w:tr>
      <w:tr>
        <w:trPr>
          <w:cantSplit/>
        </w:trPr>
        <w:tc>
          <w:tcPr>
            <w:tcW w:type="dxa" w:w="273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Animated P&amp;ID Mimics &amp; Cards</w:t>
            </w:r>
          </w:p>
        </w:tc>
        <w:tc>
          <w:tcPr>
            <w:tcW w:type="dxa" w:w="629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Fully implemented; hardware-accelerated SVG process animations and responsive instrument cards.</w:t>
            </w:r>
          </w:p>
        </w:tc>
      </w:tr>
      <w:tr>
        <w:trPr>
          <w:cantSplit/>
        </w:trPr>
        <w:tc>
          <w:tcPr>
            <w:tcW w:type="dxa" w:w="273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Cloud Historian &amp; Excel Exports</w:t>
            </w:r>
          </w:p>
        </w:tc>
        <w:tc>
          <w:tcPr>
            <w:tcW w:type="dxa" w:w="6293"/>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Fully implemented; durable 5-minute PostgreSQL bucketing and 1-click formatted .xlsx shift reports.</w:t>
            </w:r>
          </w:p>
        </w:tc>
      </w:tr>
      <w:tr>
        <w:trPr>
          <w:cantSplit/>
        </w:trPr>
        <w:tc>
          <w:tcPr>
            <w:tcW w:type="dxa" w:w="273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Alarm Management &amp; Audit Trail</w:t>
            </w:r>
          </w:p>
        </w:tc>
        <w:tc>
          <w:tcPr>
            <w:tcW w:type="dxa" w:w="629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Fully implemented; audio-visual annunciation, 10-min repeat suppression, and persisted user acknowledgment.</w:t>
            </w:r>
          </w:p>
        </w:tc>
      </w:tr>
      <w:tr>
        <w:trPr>
          <w:cantSplit/>
        </w:trPr>
        <w:tc>
          <w:tcPr>
            <w:tcW w:type="dxa" w:w="273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Government GIS Sync (MPGARUD)</w:t>
            </w:r>
          </w:p>
        </w:tc>
        <w:tc>
          <w:tcPr>
            <w:tcW w:type="dxa" w:w="6293"/>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Fully implemented; automated hourly JSON push with IST formatting and 15-minute data quality gating.</w:t>
            </w:r>
          </w:p>
        </w:tc>
      </w:tr>
      <w:tr>
        <w:trPr>
          <w:cantSplit/>
        </w:trPr>
        <w:tc>
          <w:tcPr>
            <w:tcW w:type="dxa" w:w="273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Edge Advisory Diagnostics</w:t>
            </w:r>
          </w:p>
        </w:tc>
        <w:tc>
          <w:tcPr>
            <w:tcW w:type="dxa" w:w="629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Fully implemented in high-frequency MQTT path; advisory flags for short-cycling, cavitation, and water balance.</w:t>
            </w:r>
          </w:p>
        </w:tc>
      </w:tr>
      <w:tr>
        <w:trPr>
          <w:cantSplit/>
        </w:trPr>
        <w:tc>
          <w:tcPr>
            <w:tcW w:type="dxa" w:w="273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Automated SMTP Alert Dispatch</w:t>
            </w:r>
          </w:p>
        </w:tc>
        <w:tc>
          <w:tcPr>
            <w:tcW w:type="dxa" w:w="6293"/>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Backend interface integrated; automated email trigger ready for site-specific recipient onboarding.</w:t>
            </w:r>
          </w:p>
        </w:tc>
      </w:tr>
      <w:tr>
        <w:trPr>
          <w:cantSplit/>
        </w:trPr>
        <w:tc>
          <w:tcPr>
            <w:tcW w:type="dxa" w:w="273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Plant AI Advisory Assistant</w:t>
            </w:r>
          </w:p>
        </w:tc>
        <w:tc>
          <w:tcPr>
            <w:tcW w:type="dxa" w:w="629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Integrated UI and backend conversational components; available as optional advanced analytical extension.</w:t>
            </w:r>
          </w:p>
        </w:tc>
      </w:tr>
      <w:tr>
        <w:trPr>
          <w:cantSplit/>
        </w:trPr>
        <w:tc>
          <w:tcPr>
            <w:tcW w:type="dxa" w:w="2736"/>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Multi-Station User Governance</w:t>
            </w:r>
          </w:p>
        </w:tc>
        <w:tc>
          <w:tcPr>
            <w:tcW w:type="dxa" w:w="6293"/>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Fully implemented; Role-Based Access Control (Admin, Operator, Viewer) with 12-hour session timeout.</w:t>
            </w:r>
          </w:p>
        </w:tc>
      </w:tr>
      <w:tr>
        <w:trPr>
          <w:cantSplit/>
        </w:trPr>
        <w:tc>
          <w:tcPr>
            <w:tcW w:type="dxa" w:w="2736"/>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Equipment Remote Actuation</w:t>
            </w:r>
          </w:p>
        </w:tc>
        <w:tc>
          <w:tcPr>
            <w:tcW w:type="dxa" w:w="6293"/>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Strictly excluded by design; safety controls and interlocks reside autonomously in site PLCs.</w:t>
            </w:r>
          </w:p>
        </w:tc>
      </w:tr>
    </w:tbl>
    <w:p>
      <w:pPr>
        <w:keepNext w:val="0"/>
        <w:widowControl/>
        <w:spacing w:before="0" w:after="100" w:line="240" w:lineRule="auto"/>
      </w:pPr>
    </w:p>
    <w:p>
      <w:pPr>
        <w:pStyle w:val="Heading2"/>
        <w:keepNext/>
        <w:pageBreakBefore w:val="0"/>
        <w:widowControl/>
        <w:spacing w:before="140" w:after="140" w:line="240" w:lineRule="auto"/>
        <w:ind w:left="0" w:right="0"/>
      </w:pPr>
      <w:r/>
      <w:r>
        <w:rPr>
          <w:rFonts w:ascii="Aptos" w:hAnsi="Aptos"/>
          <w:b/>
          <w:color w:val="007B8F"/>
          <w:sz w:val="25"/>
        </w:rPr>
        <w:t>Terminology and Standard Acronyms</w:t>
      </w:r>
    </w:p>
    <w:tbl>
      <w:tblPr>
        <w:tblStyle w:val="TableGrid"/>
        <w:tblW w:w="5000" w:type="pct"/>
        <w:jc w:val="center"/>
        <w:tblLayout w:type="fixed"/>
        <w:tblLook w:val="04A0" w:firstRow="1" w:lastRow="0" w:firstColumn="1" w:lastColumn="0" w:noHBand="0" w:noVBand="1"/>
        <w:tblBorders>
          <w:top w:val="single" w:sz="5" w:color="BED6E1"/>
          <w:left w:val="single" w:sz="5" w:color="BED6E1"/>
          <w:bottom w:val="single" w:sz="5" w:color="BED6E1"/>
          <w:right w:val="single" w:sz="5" w:color="BED6E1"/>
          <w:insideH w:val="single" w:sz="5" w:color="BED6E1"/>
          <w:insideV w:val="single" w:sz="5" w:color="BED6E1"/>
        </w:tblBorders>
      </w:tblPr>
      <w:tblGrid>
        <w:gridCol w:w="2232"/>
        <w:gridCol w:w="6797"/>
      </w:tblGrid>
      <w:tr>
        <w:trPr>
          <w:cantSplit/>
          <w:tblHeader/>
        </w:trPr>
        <w:tc>
          <w:tcPr>
            <w:tcW w:type="dxa" w:w="2232"/>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Standard Term / Acronym</w:t>
            </w:r>
          </w:p>
        </w:tc>
        <w:tc>
          <w:tcPr>
            <w:tcW w:type="dxa" w:w="6797"/>
            <w:vAlign w:val="center"/>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Industrial Definition &amp; System Engineering Meaning</w:t>
            </w:r>
          </w:p>
        </w:tc>
      </w:tr>
      <w:tr>
        <w:trPr>
          <w:cantSplit/>
        </w:trPr>
        <w:tc>
          <w:tcPr>
            <w:tcW w:type="dxa" w:w="223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SCADA</w:t>
            </w:r>
          </w:p>
        </w:tc>
        <w:tc>
          <w:tcPr>
            <w:tcW w:type="dxa" w:w="679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Supervisory Control and Data Acquisition; high-level process supervision and analytics platform.</w:t>
            </w:r>
          </w:p>
        </w:tc>
      </w:tr>
      <w:tr>
        <w:trPr>
          <w:cantSplit/>
        </w:trPr>
        <w:tc>
          <w:tcPr>
            <w:tcW w:type="dxa" w:w="223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PLC / RTU</w:t>
            </w:r>
          </w:p>
        </w:tc>
        <w:tc>
          <w:tcPr>
            <w:tcW w:type="dxa" w:w="679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Programmable Logic Controller / Remote Terminal Unit; deterministic field edge controller.</w:t>
            </w:r>
          </w:p>
        </w:tc>
      </w:tr>
      <w:tr>
        <w:trPr>
          <w:cantSplit/>
        </w:trPr>
        <w:tc>
          <w:tcPr>
            <w:tcW w:type="dxa" w:w="223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MQTT</w:t>
            </w:r>
          </w:p>
        </w:tc>
        <w:tc>
          <w:tcPr>
            <w:tcW w:type="dxa" w:w="679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Message Queuing Telemetry Transport; lightweight publish/subscribe industrial IoT communication protocol.</w:t>
            </w:r>
          </w:p>
        </w:tc>
      </w:tr>
      <w:tr>
        <w:trPr>
          <w:cantSplit/>
        </w:trPr>
        <w:tc>
          <w:tcPr>
            <w:tcW w:type="dxa" w:w="223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WTP / OHT</w:t>
            </w:r>
          </w:p>
        </w:tc>
        <w:tc>
          <w:tcPr>
            <w:tcW w:type="dxa" w:w="679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Water Treatment Plant (filtration and purification) / Overhead Tank (elevated distribution reservoir).</w:t>
            </w:r>
          </w:p>
        </w:tc>
      </w:tr>
      <w:tr>
        <w:trPr>
          <w:cantSplit/>
        </w:trPr>
        <w:tc>
          <w:tcPr>
            <w:tcW w:type="dxa" w:w="223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PT / LT / EFM</w:t>
            </w:r>
          </w:p>
        </w:tc>
        <w:tc>
          <w:tcPr>
            <w:tcW w:type="dxa" w:w="679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Pressure Transmitter / Level Transmitter / Electromagnetic Flowmeter.</w:t>
            </w:r>
          </w:p>
        </w:tc>
      </w:tr>
      <w:tr>
        <w:trPr>
          <w:cantSplit/>
        </w:trPr>
        <w:tc>
          <w:tcPr>
            <w:tcW w:type="dxa" w:w="2232"/>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Historian</w:t>
            </w:r>
          </w:p>
        </w:tc>
        <w:tc>
          <w:tcPr>
            <w:tcW w:type="dxa" w:w="6797"/>
            <w:vAlign w:val="center"/>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High-integrity time-series database engine designed for permanent process variable storage and analysis.</w:t>
            </w:r>
          </w:p>
        </w:tc>
      </w:tr>
      <w:tr>
        <w:trPr>
          <w:cantSplit/>
        </w:trPr>
        <w:tc>
          <w:tcPr>
            <w:tcW w:type="dxa" w:w="2232"/>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MPGARUD</w:t>
            </w:r>
          </w:p>
        </w:tc>
        <w:tc>
          <w:tcPr>
            <w:tcW w:type="dxa" w:w="6797"/>
            <w:vAlign w:val="center"/>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Government of Madhya Pradesh Urban Administration &amp; Development Directorate (UADD) Smart Water Portal.</w:t>
            </w:r>
          </w:p>
        </w:tc>
      </w:tr>
      <w:tr>
        <w:tc>
          <w:tcPr>
            <w:tcW w:type="dxa" w:w="2232"/>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IST</w:t>
            </w:r>
          </w:p>
        </w:tc>
        <w:tc>
          <w:tcPr>
            <w:tcW w:type="dxa" w:w="6797"/>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India Standard Time (UTC+05:30); mandatory temporal standard for state government compliance reporting.</w:t>
            </w:r>
          </w:p>
        </w:tc>
      </w:tr>
    </w:tbl>
    <w:p>
      <w:pPr>
        <w:keepNext w:val="0"/>
        <w:keepLines w:val="0"/>
        <w:widowControl w:val="0"/>
        <w:spacing w:before="0" w:after="0" w:line="20" w:lineRule="exact"/>
      </w:pPr>
      <w:r>
        <w:rPr>
          <w:sz w:val="2"/>
        </w:rPr>
      </w:r>
    </w:p>
    <w:p>
      <w:pPr>
        <w:pStyle w:val="Heading1"/>
      </w:pPr>
      <w:r/>
      <w:r>
        <w:rPr>
          <w:rFonts w:ascii="Aptos" w:hAnsi="Aptos"/>
          <w:b/>
          <w:color w:val="FFFFFF"/>
          <w:sz w:val="27"/>
        </w:rPr>
        <w:t>ANNEXURE B MULTI-PROJECT FLEET IMPLEMENTATION SCHEDULE</w:t>
      </w:r>
    </w:p>
    <w:p>
      <w:r/>
      <w:r>
        <w:rPr>
          <w:rFonts w:ascii="Aptos" w:hAnsi="Aptos"/>
          <w:b w:val="0"/>
          <w:color w:val="243C49"/>
          <w:sz w:val="21"/>
        </w:rPr>
        <w:t>Orbit Engineering Solutions deploys this unified Web SCADA architecture across state and municipal water supply initiatives. The table below outlines the multi-project implementation fleet covered under this master engineering standard (as authorized under PO No. PO/2026-27/23), establishing standardized system quantities, field PLCs, local HMIs, and cellular IoT gateways.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5683"/>
            <w:tcMar>
              <w:top w:w="70" w:type="dxa"/>
              <w:bottom w:w="70" w:type="dxa"/>
              <w:left w:w="95" w:type="dxa"/>
              <w:right w:w="95" w:type="dxa"/>
            </w:tcMar>
          </w:tcPr>
          <w:p>
            <w:pPr>
              <w:jc w:val="center"/>
              <w:spacing w:before="0" w:after="0" w:line="240" w:lineRule="auto"/>
            </w:pPr>
            <w:r/>
            <w:r>
              <w:rPr>
                <w:rFonts w:ascii="Aptos" w:hAnsi="Aptos"/>
                <w:b/>
                <w:color w:val="FFFFFF"/>
                <w:sz w:val="19"/>
              </w:rPr>
              <w:t>Sr.</w:t>
            </w:r>
          </w:p>
        </w:tc>
        <w:tc>
          <w:tcPr>
            <w:tcW w:type="dxa" w:w="1289"/>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Project Name</w:t>
            </w:r>
          </w:p>
        </w:tc>
        <w:tc>
          <w:tcPr>
            <w:tcW w:type="dxa" w:w="1289"/>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Location / District</w:t>
            </w:r>
          </w:p>
        </w:tc>
        <w:tc>
          <w:tcPr>
            <w:tcW w:type="dxa" w:w="1289"/>
            <w:shd w:val="clear" w:color="auto" w:fill="005683"/>
            <w:tcMar>
              <w:top w:w="70" w:type="dxa"/>
              <w:bottom w:w="70" w:type="dxa"/>
              <w:left w:w="95" w:type="dxa"/>
              <w:right w:w="95" w:type="dxa"/>
            </w:tcMar>
          </w:tcPr>
          <w:p>
            <w:pPr>
              <w:jc w:val="center"/>
              <w:spacing w:before="0" w:after="0" w:line="240" w:lineRule="auto"/>
            </w:pPr>
            <w:r/>
            <w:r>
              <w:rPr>
                <w:rFonts w:ascii="Aptos" w:hAnsi="Aptos"/>
                <w:b/>
                <w:color w:val="FFFFFF"/>
                <w:sz w:val="19"/>
              </w:rPr>
              <w:t>PLCs</w:t>
            </w:r>
          </w:p>
        </w:tc>
        <w:tc>
          <w:tcPr>
            <w:tcW w:type="dxa" w:w="1289"/>
            <w:shd w:val="clear" w:color="auto" w:fill="005683"/>
            <w:tcMar>
              <w:top w:w="70" w:type="dxa"/>
              <w:bottom w:w="70" w:type="dxa"/>
              <w:left w:w="95" w:type="dxa"/>
              <w:right w:w="95" w:type="dxa"/>
            </w:tcMar>
          </w:tcPr>
          <w:p>
            <w:pPr>
              <w:jc w:val="center"/>
              <w:spacing w:before="0" w:after="0" w:line="240" w:lineRule="auto"/>
            </w:pPr>
            <w:r/>
            <w:r>
              <w:rPr>
                <w:rFonts w:ascii="Aptos" w:hAnsi="Aptos"/>
                <w:b/>
                <w:color w:val="FFFFFF"/>
                <w:sz w:val="19"/>
              </w:rPr>
              <w:t>HMIs</w:t>
            </w:r>
          </w:p>
        </w:tc>
        <w:tc>
          <w:tcPr>
            <w:tcW w:type="dxa" w:w="1289"/>
            <w:shd w:val="clear" w:color="auto" w:fill="005683"/>
            <w:tcMar>
              <w:top w:w="70" w:type="dxa"/>
              <w:bottom w:w="70" w:type="dxa"/>
              <w:left w:w="95" w:type="dxa"/>
              <w:right w:w="95" w:type="dxa"/>
            </w:tcMar>
          </w:tcPr>
          <w:p>
            <w:pPr>
              <w:jc w:val="center"/>
              <w:spacing w:before="0" w:after="0" w:line="240" w:lineRule="auto"/>
            </w:pPr>
            <w:r/>
            <w:r>
              <w:rPr>
                <w:rFonts w:ascii="Aptos" w:hAnsi="Aptos"/>
                <w:b/>
                <w:color w:val="FFFFFF"/>
                <w:sz w:val="19"/>
              </w:rPr>
              <w:t>IoT Gateways</w:t>
            </w:r>
          </w:p>
        </w:tc>
        <w:tc>
          <w:tcPr>
            <w:tcW w:type="dxa" w:w="1289"/>
            <w:shd w:val="clear" w:color="auto" w:fill="005683"/>
            <w:tcMar>
              <w:top w:w="70" w:type="dxa"/>
              <w:bottom w:w="70" w:type="dxa"/>
              <w:left w:w="95" w:type="dxa"/>
              <w:right w:w="95" w:type="dxa"/>
            </w:tcMar>
          </w:tcPr>
          <w:p>
            <w:pPr>
              <w:jc w:val="left"/>
              <w:spacing w:before="0" w:after="0" w:line="240" w:lineRule="auto"/>
            </w:pPr>
            <w:r/>
            <w:r>
              <w:rPr>
                <w:rFonts w:ascii="Aptos" w:hAnsi="Aptos"/>
                <w:b/>
                <w:color w:val="FFFFFF"/>
                <w:sz w:val="19"/>
              </w:rPr>
              <w:t>Scheme Scope &amp; Infrastructure</w:t>
            </w:r>
          </w:p>
        </w:tc>
      </w:tr>
      <w:tr>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color w:val="005683"/>
                <w:sz w:val="19"/>
              </w:rPr>
              <w:t>1</w:t>
            </w:r>
          </w:p>
        </w:tc>
        <w:tc>
          <w:tcPr>
            <w:tcW w:type="dxa" w:w="1289"/>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Omkareshwar Scheme</w:t>
            </w:r>
          </w:p>
        </w:tc>
        <w:tc>
          <w:tcPr>
            <w:tcW w:type="dxa" w:w="1289"/>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Khandwa</w:t>
            </w:r>
          </w:p>
        </w:tc>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val="0"/>
                <w:color w:val="243C49"/>
                <w:sz w:val="19"/>
              </w:rPr>
              <w:t>12</w:t>
            </w:r>
          </w:p>
        </w:tc>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val="0"/>
                <w:color w:val="243C49"/>
                <w:sz w:val="19"/>
              </w:rPr>
              <w:t>12</w:t>
            </w:r>
          </w:p>
        </w:tc>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val="0"/>
                <w:color w:val="243C49"/>
                <w:sz w:val="19"/>
              </w:rPr>
              <w:t>12</w:t>
            </w:r>
          </w:p>
        </w:tc>
        <w:tc>
          <w:tcPr>
            <w:tcW w:type="dxa" w:w="1289"/>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Multi-zone River Intake, WTP, Booster Pumping Stations &amp; Bulk OHT Network</w:t>
            </w:r>
          </w:p>
        </w:tc>
      </w:tr>
      <w:tr>
        <w:tc>
          <w:tcPr>
            <w:tcW w:type="dxa" w:w="1289"/>
            <w:shd w:val="clear" w:color="auto" w:fill="F0F7F9"/>
            <w:tcMar>
              <w:top w:w="70" w:type="dxa"/>
              <w:bottom w:w="70" w:type="dxa"/>
              <w:left w:w="95" w:type="dxa"/>
              <w:right w:w="95" w:type="dxa"/>
            </w:tcMar>
          </w:tcPr>
          <w:p>
            <w:pPr>
              <w:jc w:val="center"/>
              <w:spacing w:before="0" w:after="0" w:line="240" w:lineRule="auto"/>
            </w:pPr>
            <w:r/>
            <w:r>
              <w:rPr>
                <w:rFonts w:ascii="Aptos" w:hAnsi="Aptos"/>
                <w:b/>
                <w:color w:val="005683"/>
                <w:sz w:val="19"/>
              </w:rPr>
              <w:t>2</w:t>
            </w:r>
          </w:p>
        </w:tc>
        <w:tc>
          <w:tcPr>
            <w:tcW w:type="dxa" w:w="1289"/>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Mohgaon Scheme</w:t>
            </w:r>
          </w:p>
        </w:tc>
        <w:tc>
          <w:tcPr>
            <w:tcW w:type="dxa" w:w="1289"/>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Chhindwara</w:t>
            </w:r>
          </w:p>
        </w:tc>
        <w:tc>
          <w:tcPr>
            <w:tcW w:type="dxa" w:w="1289"/>
            <w:shd w:val="clear" w:color="auto" w:fill="F0F7F9"/>
            <w:tcMar>
              <w:top w:w="70" w:type="dxa"/>
              <w:bottom w:w="70" w:type="dxa"/>
              <w:left w:w="95" w:type="dxa"/>
              <w:right w:w="95" w:type="dxa"/>
            </w:tcMar>
          </w:tcPr>
          <w:p>
            <w:pPr>
              <w:jc w:val="center"/>
              <w:spacing w:before="0" w:after="0" w:line="240" w:lineRule="auto"/>
            </w:pPr>
            <w:r/>
            <w:r>
              <w:rPr>
                <w:rFonts w:ascii="Aptos" w:hAnsi="Aptos"/>
                <w:b w:val="0"/>
                <w:color w:val="243C49"/>
                <w:sz w:val="19"/>
              </w:rPr>
              <w:t>6</w:t>
            </w:r>
          </w:p>
        </w:tc>
        <w:tc>
          <w:tcPr>
            <w:tcW w:type="dxa" w:w="1289"/>
            <w:shd w:val="clear" w:color="auto" w:fill="F0F7F9"/>
            <w:tcMar>
              <w:top w:w="70" w:type="dxa"/>
              <w:bottom w:w="70" w:type="dxa"/>
              <w:left w:w="95" w:type="dxa"/>
              <w:right w:w="95" w:type="dxa"/>
            </w:tcMar>
          </w:tcPr>
          <w:p>
            <w:pPr>
              <w:jc w:val="center"/>
              <w:spacing w:before="0" w:after="0" w:line="240" w:lineRule="auto"/>
            </w:pPr>
            <w:r/>
            <w:r>
              <w:rPr>
                <w:rFonts w:ascii="Aptos" w:hAnsi="Aptos"/>
                <w:b w:val="0"/>
                <w:color w:val="243C49"/>
                <w:sz w:val="19"/>
              </w:rPr>
              <w:t>6</w:t>
            </w:r>
          </w:p>
        </w:tc>
        <w:tc>
          <w:tcPr>
            <w:tcW w:type="dxa" w:w="1289"/>
            <w:shd w:val="clear" w:color="auto" w:fill="F0F7F9"/>
            <w:tcMar>
              <w:top w:w="70" w:type="dxa"/>
              <w:bottom w:w="70" w:type="dxa"/>
              <w:left w:w="95" w:type="dxa"/>
              <w:right w:w="95" w:type="dxa"/>
            </w:tcMar>
          </w:tcPr>
          <w:p>
            <w:pPr>
              <w:jc w:val="center"/>
              <w:spacing w:before="0" w:after="0" w:line="240" w:lineRule="auto"/>
            </w:pPr>
            <w:r/>
            <w:r>
              <w:rPr>
                <w:rFonts w:ascii="Aptos" w:hAnsi="Aptos"/>
                <w:b w:val="0"/>
                <w:color w:val="243C49"/>
                <w:sz w:val="19"/>
              </w:rPr>
              <w:t>6</w:t>
            </w:r>
          </w:p>
        </w:tc>
        <w:tc>
          <w:tcPr>
            <w:tcW w:type="dxa" w:w="1289"/>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River Intake, 4 MLD WTP, 4 Zonal Ward OHTs (Live Benchmark Implementation)</w:t>
            </w:r>
          </w:p>
        </w:tc>
      </w:tr>
      <w:tr>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color w:val="005683"/>
                <w:sz w:val="19"/>
              </w:rPr>
              <w:t>3</w:t>
            </w:r>
          </w:p>
        </w:tc>
        <w:tc>
          <w:tcPr>
            <w:tcW w:type="dxa" w:w="1289"/>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Palera Scheme</w:t>
            </w:r>
          </w:p>
        </w:tc>
        <w:tc>
          <w:tcPr>
            <w:tcW w:type="dxa" w:w="1289"/>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Tikamgarh</w:t>
            </w:r>
          </w:p>
        </w:tc>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val="0"/>
                <w:color w:val="243C49"/>
                <w:sz w:val="19"/>
              </w:rPr>
              <w:t>8</w:t>
            </w:r>
          </w:p>
        </w:tc>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val="0"/>
                <w:color w:val="243C49"/>
                <w:sz w:val="19"/>
              </w:rPr>
              <w:t>8</w:t>
            </w:r>
          </w:p>
        </w:tc>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val="0"/>
                <w:color w:val="243C49"/>
                <w:sz w:val="19"/>
              </w:rPr>
              <w:t>8</w:t>
            </w:r>
          </w:p>
        </w:tc>
        <w:tc>
          <w:tcPr>
            <w:tcW w:type="dxa" w:w="1289"/>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Raw Water Intake Well, Filtration Plant &amp; Multi-Ward Distribution OHTs</w:t>
            </w:r>
          </w:p>
        </w:tc>
      </w:tr>
      <w:tr>
        <w:tc>
          <w:tcPr>
            <w:tcW w:type="dxa" w:w="1289"/>
            <w:shd w:val="clear" w:color="auto" w:fill="F0F7F9"/>
            <w:tcMar>
              <w:top w:w="70" w:type="dxa"/>
              <w:bottom w:w="70" w:type="dxa"/>
              <w:left w:w="95" w:type="dxa"/>
              <w:right w:w="95" w:type="dxa"/>
            </w:tcMar>
          </w:tcPr>
          <w:p>
            <w:pPr>
              <w:jc w:val="center"/>
              <w:spacing w:before="0" w:after="0" w:line="240" w:lineRule="auto"/>
            </w:pPr>
            <w:r/>
            <w:r>
              <w:rPr>
                <w:rFonts w:ascii="Aptos" w:hAnsi="Aptos"/>
                <w:b/>
                <w:color w:val="005683"/>
                <w:sz w:val="19"/>
              </w:rPr>
              <w:t>4</w:t>
            </w:r>
          </w:p>
        </w:tc>
        <w:tc>
          <w:tcPr>
            <w:tcW w:type="dxa" w:w="1289"/>
            <w:shd w:val="clear" w:color="auto" w:fill="F0F7F9"/>
            <w:tcMar>
              <w:top w:w="70" w:type="dxa"/>
              <w:bottom w:w="70" w:type="dxa"/>
              <w:left w:w="95" w:type="dxa"/>
              <w:right w:w="95" w:type="dxa"/>
            </w:tcMar>
          </w:tcPr>
          <w:p>
            <w:pPr>
              <w:jc w:val="left"/>
              <w:spacing w:before="0" w:after="0" w:line="240" w:lineRule="auto"/>
            </w:pPr>
            <w:r/>
            <w:r>
              <w:rPr>
                <w:rFonts w:ascii="Aptos" w:hAnsi="Aptos"/>
                <w:b/>
                <w:color w:val="005683"/>
                <w:sz w:val="19"/>
              </w:rPr>
              <w:t>Rampur Naikin Scheme</w:t>
            </w:r>
          </w:p>
        </w:tc>
        <w:tc>
          <w:tcPr>
            <w:tcW w:type="dxa" w:w="1289"/>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Rewa</w:t>
            </w:r>
          </w:p>
        </w:tc>
        <w:tc>
          <w:tcPr>
            <w:tcW w:type="dxa" w:w="1289"/>
            <w:shd w:val="clear" w:color="auto" w:fill="F0F7F9"/>
            <w:tcMar>
              <w:top w:w="70" w:type="dxa"/>
              <w:bottom w:w="70" w:type="dxa"/>
              <w:left w:w="95" w:type="dxa"/>
              <w:right w:w="95" w:type="dxa"/>
            </w:tcMar>
          </w:tcPr>
          <w:p>
            <w:pPr>
              <w:jc w:val="center"/>
              <w:spacing w:before="0" w:after="0" w:line="240" w:lineRule="auto"/>
            </w:pPr>
            <w:r/>
            <w:r>
              <w:rPr>
                <w:rFonts w:ascii="Aptos" w:hAnsi="Aptos"/>
                <w:b w:val="0"/>
                <w:color w:val="243C49"/>
                <w:sz w:val="19"/>
              </w:rPr>
              <w:t>6</w:t>
            </w:r>
          </w:p>
        </w:tc>
        <w:tc>
          <w:tcPr>
            <w:tcW w:type="dxa" w:w="1289"/>
            <w:shd w:val="clear" w:color="auto" w:fill="F0F7F9"/>
            <w:tcMar>
              <w:top w:w="70" w:type="dxa"/>
              <w:bottom w:w="70" w:type="dxa"/>
              <w:left w:w="95" w:type="dxa"/>
              <w:right w:w="95" w:type="dxa"/>
            </w:tcMar>
          </w:tcPr>
          <w:p>
            <w:pPr>
              <w:jc w:val="center"/>
              <w:spacing w:before="0" w:after="0" w:line="240" w:lineRule="auto"/>
            </w:pPr>
            <w:r/>
            <w:r>
              <w:rPr>
                <w:rFonts w:ascii="Aptos" w:hAnsi="Aptos"/>
                <w:b w:val="0"/>
                <w:color w:val="243C49"/>
                <w:sz w:val="19"/>
              </w:rPr>
              <w:t>6</w:t>
            </w:r>
          </w:p>
        </w:tc>
        <w:tc>
          <w:tcPr>
            <w:tcW w:type="dxa" w:w="1289"/>
            <w:shd w:val="clear" w:color="auto" w:fill="F0F7F9"/>
            <w:tcMar>
              <w:top w:w="70" w:type="dxa"/>
              <w:bottom w:w="70" w:type="dxa"/>
              <w:left w:w="95" w:type="dxa"/>
              <w:right w:w="95" w:type="dxa"/>
            </w:tcMar>
          </w:tcPr>
          <w:p>
            <w:pPr>
              <w:jc w:val="center"/>
              <w:spacing w:before="0" w:after="0" w:line="240" w:lineRule="auto"/>
            </w:pPr>
            <w:r/>
            <w:r>
              <w:rPr>
                <w:rFonts w:ascii="Aptos" w:hAnsi="Aptos"/>
                <w:b w:val="0"/>
                <w:color w:val="243C49"/>
                <w:sz w:val="19"/>
              </w:rPr>
              <w:t>6</w:t>
            </w:r>
          </w:p>
        </w:tc>
        <w:tc>
          <w:tcPr>
            <w:tcW w:type="dxa" w:w="1289"/>
            <w:shd w:val="clear" w:color="auto" w:fill="F0F7F9"/>
            <w:tcMar>
              <w:top w:w="70" w:type="dxa"/>
              <w:bottom w:w="70" w:type="dxa"/>
              <w:left w:w="95" w:type="dxa"/>
              <w:right w:w="95" w:type="dxa"/>
            </w:tcMar>
          </w:tcPr>
          <w:p>
            <w:pPr>
              <w:jc w:val="left"/>
              <w:spacing w:before="0" w:after="0" w:line="240" w:lineRule="auto"/>
            </w:pPr>
            <w:r/>
            <w:r>
              <w:rPr>
                <w:rFonts w:ascii="Aptos" w:hAnsi="Aptos"/>
                <w:b w:val="0"/>
                <w:color w:val="243C49"/>
                <w:sz w:val="19"/>
              </w:rPr>
              <w:t>Intake Pumping Station, WTP Process Sumps &amp; Elevated Service Reservoirs</w:t>
            </w:r>
          </w:p>
        </w:tc>
      </w:tr>
      <w:tr>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color w:val="005683"/>
                <w:sz w:val="19"/>
              </w:rPr>
              <w:t>5</w:t>
            </w:r>
          </w:p>
        </w:tc>
        <w:tc>
          <w:tcPr>
            <w:tcW w:type="dxa" w:w="1289"/>
            <w:shd w:val="clear" w:color="auto" w:fill="FFFFFF"/>
            <w:tcMar>
              <w:top w:w="70" w:type="dxa"/>
              <w:bottom w:w="70" w:type="dxa"/>
              <w:left w:w="95" w:type="dxa"/>
              <w:right w:w="95" w:type="dxa"/>
            </w:tcMar>
          </w:tcPr>
          <w:p>
            <w:pPr>
              <w:jc w:val="left"/>
              <w:spacing w:before="0" w:after="0" w:line="240" w:lineRule="auto"/>
            </w:pPr>
            <w:r/>
            <w:r>
              <w:rPr>
                <w:rFonts w:ascii="Aptos" w:hAnsi="Aptos"/>
                <w:b/>
                <w:color w:val="005683"/>
                <w:sz w:val="19"/>
              </w:rPr>
              <w:t>Gurh Scheme</w:t>
            </w:r>
          </w:p>
        </w:tc>
        <w:tc>
          <w:tcPr>
            <w:tcW w:type="dxa" w:w="1289"/>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Rewa</w:t>
            </w:r>
          </w:p>
        </w:tc>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val="0"/>
                <w:color w:val="243C49"/>
                <w:sz w:val="19"/>
              </w:rPr>
              <w:t>6</w:t>
            </w:r>
          </w:p>
        </w:tc>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val="0"/>
                <w:color w:val="243C49"/>
                <w:sz w:val="19"/>
              </w:rPr>
              <w:t>6</w:t>
            </w:r>
          </w:p>
        </w:tc>
        <w:tc>
          <w:tcPr>
            <w:tcW w:type="dxa" w:w="1289"/>
            <w:shd w:val="clear" w:color="auto" w:fill="FFFFFF"/>
            <w:tcMar>
              <w:top w:w="70" w:type="dxa"/>
              <w:bottom w:w="70" w:type="dxa"/>
              <w:left w:w="95" w:type="dxa"/>
              <w:right w:w="95" w:type="dxa"/>
            </w:tcMar>
          </w:tcPr>
          <w:p>
            <w:pPr>
              <w:jc w:val="center"/>
              <w:spacing w:before="0" w:after="0" w:line="240" w:lineRule="auto"/>
            </w:pPr>
            <w:r/>
            <w:r>
              <w:rPr>
                <w:rFonts w:ascii="Aptos" w:hAnsi="Aptos"/>
                <w:b w:val="0"/>
                <w:color w:val="243C49"/>
                <w:sz w:val="19"/>
              </w:rPr>
              <w:t>6</w:t>
            </w:r>
          </w:p>
        </w:tc>
        <w:tc>
          <w:tcPr>
            <w:tcW w:type="dxa" w:w="1289"/>
            <w:shd w:val="clear" w:color="auto" w:fill="FFFFFF"/>
            <w:tcMar>
              <w:top w:w="70" w:type="dxa"/>
              <w:bottom w:w="70" w:type="dxa"/>
              <w:left w:w="95" w:type="dxa"/>
              <w:right w:w="95" w:type="dxa"/>
            </w:tcMar>
          </w:tcPr>
          <w:p>
            <w:pPr>
              <w:jc w:val="left"/>
              <w:spacing w:before="0" w:after="0" w:line="240" w:lineRule="auto"/>
            </w:pPr>
            <w:r/>
            <w:r>
              <w:rPr>
                <w:rFonts w:ascii="Aptos" w:hAnsi="Aptos"/>
                <w:b w:val="0"/>
                <w:color w:val="243C49"/>
                <w:sz w:val="19"/>
              </w:rPr>
              <w:t>River Intake Station, WTP Units &amp; Zonal Municipal Distribution Network</w:t>
            </w:r>
          </w:p>
        </w:tc>
      </w:tr>
      <w:tr>
        <w:tc>
          <w:tcPr>
            <w:tcW w:type="dxa" w:w="1289"/>
            <w:shd w:val="clear" w:color="auto" w:fill="007B8F"/>
            <w:tcMar>
              <w:top w:w="70" w:type="dxa"/>
              <w:bottom w:w="70" w:type="dxa"/>
              <w:left w:w="95" w:type="dxa"/>
              <w:right w:w="95" w:type="dxa"/>
            </w:tcMar>
          </w:tcPr>
          <w:p>
            <w:pPr>
              <w:jc w:val="center"/>
              <w:spacing w:before="0" w:after="0" w:line="240" w:lineRule="auto"/>
            </w:pPr>
            <w:r/>
            <w:r>
              <w:rPr>
                <w:rFonts w:ascii="Aptos" w:hAnsi="Aptos"/>
                <w:b/>
                <w:color w:val="FFFFFF"/>
                <w:sz w:val="19"/>
              </w:rPr>
              <w:t>TOTAL</w:t>
            </w:r>
          </w:p>
        </w:tc>
        <w:tc>
          <w:tcPr>
            <w:tcW w:type="dxa" w:w="1289"/>
            <w:shd w:val="clear" w:color="auto" w:fill="007B8F"/>
            <w:tcMar>
              <w:top w:w="70" w:type="dxa"/>
              <w:bottom w:w="70" w:type="dxa"/>
              <w:left w:w="95" w:type="dxa"/>
              <w:right w:w="95" w:type="dxa"/>
            </w:tcMar>
          </w:tcPr>
          <w:p>
            <w:pPr>
              <w:jc w:val="left"/>
              <w:spacing w:before="0" w:after="0" w:line="240" w:lineRule="auto"/>
            </w:pPr>
            <w:r/>
            <w:r>
              <w:rPr>
                <w:rFonts w:ascii="Aptos" w:hAnsi="Aptos"/>
                <w:b/>
                <w:color w:val="FFFFFF"/>
                <w:sz w:val="19"/>
              </w:rPr>
              <w:t>5 Major Schemes</w:t>
            </w:r>
          </w:p>
        </w:tc>
        <w:tc>
          <w:tcPr>
            <w:tcW w:type="dxa" w:w="1289"/>
            <w:shd w:val="clear" w:color="auto" w:fill="007B8F"/>
            <w:tcMar>
              <w:top w:w="70" w:type="dxa"/>
              <w:bottom w:w="70" w:type="dxa"/>
              <w:left w:w="95" w:type="dxa"/>
              <w:right w:w="95" w:type="dxa"/>
            </w:tcMar>
          </w:tcPr>
          <w:p>
            <w:pPr>
              <w:jc w:val="left"/>
              <w:spacing w:before="0" w:after="0" w:line="240" w:lineRule="auto"/>
            </w:pPr>
            <w:r/>
            <w:r>
              <w:rPr>
                <w:rFonts w:ascii="Aptos" w:hAnsi="Aptos"/>
                <w:b/>
                <w:color w:val="FFFFFF"/>
                <w:sz w:val="19"/>
              </w:rPr>
              <w:t>Madhya Pradesh</w:t>
            </w:r>
          </w:p>
        </w:tc>
        <w:tc>
          <w:tcPr>
            <w:tcW w:type="dxa" w:w="1289"/>
            <w:shd w:val="clear" w:color="auto" w:fill="007B8F"/>
            <w:tcMar>
              <w:top w:w="70" w:type="dxa"/>
              <w:bottom w:w="70" w:type="dxa"/>
              <w:left w:w="95" w:type="dxa"/>
              <w:right w:w="95" w:type="dxa"/>
            </w:tcMar>
          </w:tcPr>
          <w:p>
            <w:pPr>
              <w:jc w:val="center"/>
              <w:spacing w:before="0" w:after="0" w:line="240" w:lineRule="auto"/>
            </w:pPr>
            <w:r/>
            <w:r>
              <w:rPr>
                <w:rFonts w:ascii="Aptos" w:hAnsi="Aptos"/>
                <w:b/>
                <w:color w:val="FFFFFF"/>
                <w:sz w:val="19"/>
              </w:rPr>
              <w:t>38</w:t>
            </w:r>
          </w:p>
        </w:tc>
        <w:tc>
          <w:tcPr>
            <w:tcW w:type="dxa" w:w="1289"/>
            <w:shd w:val="clear" w:color="auto" w:fill="007B8F"/>
            <w:tcMar>
              <w:top w:w="70" w:type="dxa"/>
              <w:bottom w:w="70" w:type="dxa"/>
              <w:left w:w="95" w:type="dxa"/>
              <w:right w:w="95" w:type="dxa"/>
            </w:tcMar>
          </w:tcPr>
          <w:p>
            <w:pPr>
              <w:jc w:val="center"/>
              <w:spacing w:before="0" w:after="0" w:line="240" w:lineRule="auto"/>
            </w:pPr>
            <w:r/>
            <w:r>
              <w:rPr>
                <w:rFonts w:ascii="Aptos" w:hAnsi="Aptos"/>
                <w:b/>
                <w:color w:val="FFFFFF"/>
                <w:sz w:val="19"/>
              </w:rPr>
              <w:t>38</w:t>
            </w:r>
          </w:p>
        </w:tc>
        <w:tc>
          <w:tcPr>
            <w:tcW w:type="dxa" w:w="1289"/>
            <w:shd w:val="clear" w:color="auto" w:fill="007B8F"/>
            <w:tcMar>
              <w:top w:w="70" w:type="dxa"/>
              <w:bottom w:w="70" w:type="dxa"/>
              <w:left w:w="95" w:type="dxa"/>
              <w:right w:w="95" w:type="dxa"/>
            </w:tcMar>
          </w:tcPr>
          <w:p>
            <w:pPr>
              <w:jc w:val="center"/>
              <w:spacing w:before="0" w:after="0" w:line="240" w:lineRule="auto"/>
            </w:pPr>
            <w:r/>
            <w:r>
              <w:rPr>
                <w:rFonts w:ascii="Aptos" w:hAnsi="Aptos"/>
                <w:b/>
                <w:color w:val="FFFFFF"/>
                <w:sz w:val="19"/>
              </w:rPr>
              <w:t>38</w:t>
            </w:r>
          </w:p>
        </w:tc>
        <w:tc>
          <w:tcPr>
            <w:tcW w:type="dxa" w:w="1289"/>
            <w:shd w:val="clear" w:color="auto" w:fill="007B8F"/>
            <w:tcMar>
              <w:top w:w="70" w:type="dxa"/>
              <w:bottom w:w="70" w:type="dxa"/>
              <w:left w:w="95" w:type="dxa"/>
              <w:right w:w="95" w:type="dxa"/>
            </w:tcMar>
          </w:tcPr>
          <w:p>
            <w:pPr>
              <w:jc w:val="left"/>
              <w:spacing w:before="0" w:after="0" w:line="240" w:lineRule="auto"/>
            </w:pPr>
            <w:r/>
            <w:r>
              <w:rPr>
                <w:rFonts w:ascii="Aptos" w:hAnsi="Aptos"/>
                <w:b/>
                <w:color w:val="FFFFFF"/>
                <w:sz w:val="19"/>
              </w:rPr>
              <w:t>Comprehensive Unified Fleet Supervisory Operations</w:t>
            </w:r>
          </w:p>
        </w:tc>
      </w:tr>
    </w:tbl>
    <w:p>
      <w:r/>
      <w:r>
        <w:rPr>
          <w:rFonts w:ascii="Aptos" w:hAnsi="Aptos"/>
          <w:b/>
          <w:color w:val="005683"/>
          <w:sz w:val="20"/>
        </w:rPr>
        <w:t xml:space="preserve">Note: </w:t>
      </w:r>
      <w:r>
        <w:rPr>
          <w:rFonts w:ascii="Aptos" w:hAnsi="Aptos"/>
          <w:b w:val="0"/>
          <w:color w:val="243C49"/>
          <w:sz w:val="20"/>
        </w:rPr>
        <w:t>The enterprise platform architecture, cellular MQTT protocols, 5-minute durable cloud historian bucketing, MPGARUD GIS compliance connector, and role-based security defined in this document apply uniformly across all 38 project installations. Site-specific P&amp;ID mimics and tag mappings are deployed per respective approved tender I/O schedules.</w:t>
      </w:r>
    </w:p>
    <w:p>
      <w:pPr>
        <w:pStyle w:val="Heading2"/>
      </w:pPr>
      <w:r/>
      <w:r>
        <w:rPr>
          <w:rFonts w:ascii="Aptos" w:hAnsi="Aptos"/>
          <w:b/>
          <w:color w:val="007B8F"/>
          <w:sz w:val="25"/>
        </w:rPr>
        <w:t>Fleet Project Authorization &amp; Endorsement</w:t>
      </w:r>
    </w:p>
    <w:p>
      <w:r/>
      <w:r>
        <w:rPr>
          <w:rFonts w:ascii="Aptos" w:hAnsi="Aptos"/>
          <w:b/>
          <w:color w:val="005683"/>
          <w:sz w:val="22"/>
        </w:rPr>
        <w:t>For Orbit Engineering Solutions</w:t>
        <w:br/>
      </w:r>
      <w:r>
        <w:rPr>
          <w:rFonts w:ascii="Aptos" w:hAnsi="Aptos"/>
          <w:b w:val="0"/>
          <w:color w:val="243C49"/>
          <w:sz w:val="21"/>
        </w:rPr>
        <w:t>Authorized Signatory: ________________________</w:t>
        <w:br/>
        <w:t>Date: ________________________</w:t>
        <w:br/>
        <w:br/>
      </w:r>
      <w:r>
        <w:rPr>
          <w:rFonts w:ascii="Aptos" w:hAnsi="Aptos"/>
          <w:b/>
          <w:color w:val="005683"/>
          <w:sz w:val="22"/>
        </w:rPr>
        <w:t>For Mamnoon Siddiqui / Client Project Authority</w:t>
        <w:br/>
      </w:r>
      <w:r>
        <w:rPr>
          <w:rFonts w:ascii="Aptos" w:hAnsi="Aptos"/>
          <w:b w:val="0"/>
          <w:color w:val="243C49"/>
          <w:sz w:val="21"/>
        </w:rPr>
        <w:t>Authorized Signatory: ________________________</w:t>
        <w:br/>
        <w:t>Date: ________________________</w:t>
      </w:r>
    </w:p>
    <w:sectPr w:rsidR="00B9159A" w:rsidSect="00C61709">
      <w:headerReference w:type="default" r:id="rId10"/>
      <w:footerReference w:type="default" r:id="rId11"/>
      <w:pgSz w:w="11906" w:h="16838"/>
      <w:pgMar w:top="2694" w:right="1440" w:bottom="170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7D71" w14:textId="77777777" w:rsidR="005D2B73" w:rsidRDefault="005D2B73" w:rsidP="00C61709">
      <w:pPr>
        <w:spacing w:after="0" w:line="240" w:lineRule="auto"/>
      </w:pPr>
      <w:r>
        <w:separator/>
      </w:r>
    </w:p>
  </w:endnote>
  <w:endnote w:type="continuationSeparator" w:id="0">
    <w:p w14:paraId="0FE0B1A7" w14:textId="77777777" w:rsidR="005D2B73" w:rsidRDefault="005D2B73" w:rsidP="00C61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A20F" w14:textId="7273346B" w:rsidR="00C61709" w:rsidRDefault="00C61709">
    <w:pPr>
      <w:pStyle w:val="Footer"/>
    </w:pPr>
    <w:r>
      <w:rPr>
        <w:noProof/>
      </w:rPr>
      <w:drawing>
        <wp:anchor distT="0" distB="0" distL="114300" distR="114300" simplePos="0" relativeHeight="251663360" behindDoc="0" locked="0" layoutInCell="1" allowOverlap="1" wp14:anchorId="5D873342" wp14:editId="6B5AD4D9">
          <wp:simplePos x="0" y="0"/>
          <wp:positionH relativeFrom="page">
            <wp:posOffset>247015</wp:posOffset>
          </wp:positionH>
          <wp:positionV relativeFrom="page">
            <wp:posOffset>9778500</wp:posOffset>
          </wp:positionV>
          <wp:extent cx="4374515" cy="233045"/>
          <wp:effectExtent l="0" t="0" r="0" b="0"/>
          <wp:wrapNone/>
          <wp:docPr id="929683563" name="Image 21" descr="Company office and contact detai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9836244" name="Image 21"/>
                  <pic:cNvPicPr>
                    <a:picLocks/>
                  </pic:cNvPicPr>
                </pic:nvPicPr>
                <pic:blipFill>
                  <a:blip r:embed="rId1" cstate="print"/>
                  <a:stretch>
                    <a:fillRect/>
                  </a:stretch>
                </pic:blipFill>
                <pic:spPr>
                  <a:xfrm>
                    <a:off x="0" y="0"/>
                    <a:ext cx="4374515" cy="233045"/>
                  </a:xfrm>
                  <a:prstGeom prst="rect">
                    <a:avLst/>
                  </a:prstGeom>
                </pic:spPr>
              </pic:pic>
            </a:graphicData>
          </a:graphic>
        </wp:anchor>
      </w:drawing>
    </w:r>
    <w:r>
      <w:rPr>
        <w:noProof/>
      </w:rPr>
      <mc:AlternateContent>
        <mc:Choice Requires="wps">
          <w:drawing>
            <wp:anchor distT="0" distB="0" distL="114300" distR="114300" simplePos="0" relativeHeight="251662336" behindDoc="0" locked="0" layoutInCell="1" allowOverlap="1" wp14:anchorId="0254C4AE" wp14:editId="3F8C491D">
              <wp:simplePos x="0" y="0"/>
              <wp:positionH relativeFrom="page">
                <wp:posOffset>0</wp:posOffset>
              </wp:positionH>
              <wp:positionV relativeFrom="page">
                <wp:posOffset>10179050</wp:posOffset>
              </wp:positionV>
              <wp:extent cx="7559675" cy="513080"/>
              <wp:effectExtent l="0" t="0" r="0" b="0"/>
              <wp:wrapNone/>
              <wp:docPr id="674346897" name="Graphic 5" descr="Decorative blue Orbit footer"/>
              <wp:cNvGraphicFramePr/>
              <a:graphic xmlns:a="http://schemas.openxmlformats.org/drawingml/2006/main">
                <a:graphicData uri="http://schemas.microsoft.com/office/word/2010/wordprocessingShape">
                  <wps:wsp>
                    <wps:cNvSpPr/>
                    <wps:spPr>
                      <a:xfrm>
                        <a:off x="0" y="0"/>
                        <a:ext cx="7559675" cy="513080"/>
                      </a:xfrm>
                      <a:custGeom>
                        <a:avLst/>
                        <a:gdLst/>
                        <a:ahLst/>
                        <a:cxnLst/>
                        <a:rect l="l" t="t" r="r" b="b"/>
                        <a:pathLst>
                          <a:path w="7560309" h="513080">
                            <a:moveTo>
                              <a:pt x="1503100" y="0"/>
                            </a:moveTo>
                            <a:lnTo>
                              <a:pt x="0" y="0"/>
                            </a:lnTo>
                            <a:lnTo>
                              <a:pt x="0" y="512491"/>
                            </a:lnTo>
                            <a:lnTo>
                              <a:pt x="7560000" y="512491"/>
                            </a:lnTo>
                            <a:lnTo>
                              <a:pt x="7560000" y="319841"/>
                            </a:lnTo>
                            <a:lnTo>
                              <a:pt x="1713729" y="319841"/>
                            </a:lnTo>
                            <a:lnTo>
                              <a:pt x="1503100" y="0"/>
                            </a:lnTo>
                            <a:close/>
                          </a:path>
                        </a:pathLst>
                      </a:custGeom>
                      <a:solidFill>
                        <a:srgbClr val="005683"/>
                      </a:solidFill>
                    </wps:spPr>
                    <wps:bodyPr wrap="square" lIns="0" tIns="0" rIns="0" bIns="0" rtlCol="0">
                      <a:prstTxWarp prst="textNoShape">
                        <a:avLst/>
                      </a:prstTxWarp>
                      <a:noAutofit/>
                    </wps:bodyPr>
                  </wps:wsp>
                </a:graphicData>
              </a:graphic>
            </wp:anchor>
          </w:drawing>
        </mc:Choice>
        <mc:Fallback>
          <w:pict>
            <v:shape w14:anchorId="0C5A1999" id="Graphic 5" o:spid="_x0000_s1026" style="position:absolute;margin-left:-1in;margin-top:8.25pt;width:595.25pt;height:40.4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7560309,51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" path="m1503100,l,,,512491r7560000,l7560000,319841r-5846271,l1503100,xe" fillcolor="#005683" stroked="f">
              <v:path arrowok="t"/>
            </v:shape>
          </w:pict>
        </mc:Fallback>
      </mc:AlternateContent>
    </w:r>
  </w:p>
  <w:p>
    <w:pPr>
      <w:jc w:val="right"/>
      <w:spacing w:before="0" w:after="0"/>
    </w:pPr>
    <w:r>
      <w:rPr>
        <w:sz w:val="16"/>
        <w:color w:val="000000"/>
      </w:rPr>
      <w:t xml:space="preserve">OES/SCADA/MOH/TD/001  |  R0  |  Page </w:t>
    </w:r>
    <w:r>
      <w:rPr>
        <w:sz w:val="16"/>
        <w:color w:val="000000"/>
      </w:rPr>
      <w:fldChar w:fldCharType="begin"/>
    </w:r>
    <w:r>
      <w:instrText> PAGE </w:instrText>
    </w:r>
    <w:r>
      <w:rPr>
        <w:sz w:val="16"/>
        <w:color w:val="000000"/>
      </w:rPr>
      <w:fldChar w:fldCharType="separate"/>
    </w:r>
    <w:r>
      <w:rPr>
        <w:sz w:val="16"/>
        <w:color w:val="000000"/>
      </w:rPr>
      <w:t xml:space="preserve">1</w:t>
    </w:r>
    <w:r>
      <w:rPr>
        <w:sz w:val="16"/>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DAB7" w14:textId="77777777" w:rsidR="005D2B73" w:rsidRDefault="005D2B73" w:rsidP="00C61709">
      <w:pPr>
        <w:spacing w:after="0" w:line="240" w:lineRule="auto"/>
      </w:pPr>
      <w:r>
        <w:separator/>
      </w:r>
    </w:p>
  </w:footnote>
  <w:footnote w:type="continuationSeparator" w:id="0">
    <w:p w14:paraId="4F253706" w14:textId="77777777" w:rsidR="005D2B73" w:rsidRDefault="005D2B73" w:rsidP="00C61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729B" w14:textId="5DAD3EEF" w:rsidR="00C61709" w:rsidRDefault="00C61709">
    <w:pPr>
      <w:pStyle w:val="Header"/>
    </w:pPr>
    <w:r>
      <w:rPr>
        <w:noProof/>
      </w:rPr>
      <w:drawing>
        <wp:anchor distT="0" distB="0" distL="0" distR="0" simplePos="0" relativeHeight="251665408" behindDoc="1" locked="0" layoutInCell="1" allowOverlap="1" wp14:anchorId="5A5430D0" wp14:editId="36EAE3C6">
          <wp:simplePos x="0" y="0"/>
          <wp:positionH relativeFrom="margin">
            <wp:align>center</wp:align>
          </wp:positionH>
          <wp:positionV relativeFrom="paragraph">
            <wp:posOffset>2894965</wp:posOffset>
          </wp:positionV>
          <wp:extent cx="4500388" cy="3988308"/>
          <wp:effectExtent l="0" t="0" r="0" b="0"/>
          <wp:wrapNone/>
          <wp:docPr id="639385492" name="Image 20" descr="Decorative pale Orbit company waterma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4500388" cy="3988308"/>
                  </a:xfrm>
                  <a:prstGeom prst="rect">
                    <a:avLst/>
                  </a:prstGeom>
                </pic:spPr>
              </pic:pic>
            </a:graphicData>
          </a:graphic>
        </wp:anchor>
      </w:drawing>
    </w:r>
    <w:r>
      <w:drawing>
        <wp:anchor distT="0" distB="0" distL="0" distR="0" simplePos="0" relativeHeight="251660000" behindDoc="0" locked="0" layoutInCell="1" allowOverlap="1">
          <wp:simplePos x="0" y="0"/>
          <wp:positionH relativeFrom="page">
            <wp:posOffset>0</wp:posOffset>
          </wp:positionH>
          <wp:positionV relativeFrom="page">
            <wp:posOffset>0</wp:posOffset>
          </wp:positionV>
          <wp:extent cx="7560310" cy="1523028"/>
          <wp:wrapNone/>
          <wp:docPr id="501" name="Orbit company letterhead" descr="Orbit Engineering Solutions. GSTIN 23ANXPT9658H1ZY. Company certification statement as printed on the supplied company letterhead."/>
          <wp:cNvGraphicFramePr/>
          <a:graphic xmlns:a="http://schemas.openxmlformats.org/drawingml/2006/main" xmlns:pic="http://schemas.openxmlformats.org/drawingml/2006/picture">
            <a:graphicData uri="http://schemas.openxmlformats.org/drawingml/2006/picture">
              <pic:pic>
                <pic:nvPicPr>
                  <pic:cNvPr id="501" name="Orbit company letterhead"/>
                  <pic:cNvPicPr/>
                </pic:nvPicPr>
                <pic:blipFill>
                  <a:blip r:embed="rIdOesLetterhead"/>
                  <a:stretch>
                    <a:fillRect/>
                  </a:stretch>
                </pic:blipFill>
                <pic:spPr>
                  <a:xfrm>
                    <a:off x="0" y="0"/>
                    <a:ext cx="7560310" cy="1523028"/>
                  </a:xfrm>
                  <a:prstGeom prst="rec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0982"/>
    <w:multiLevelType w:val="multilevel"/>
    <w:tmpl w:val="F2E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75ED"/>
    <w:multiLevelType w:val="multilevel"/>
    <w:tmpl w:val="9F36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8080A"/>
    <w:multiLevelType w:val="multilevel"/>
    <w:tmpl w:val="4FB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F33A0"/>
    <w:multiLevelType w:val="multilevel"/>
    <w:tmpl w:val="73EC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32CC7"/>
    <w:multiLevelType w:val="multilevel"/>
    <w:tmpl w:val="0B4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7387E"/>
    <w:multiLevelType w:val="multilevel"/>
    <w:tmpl w:val="D15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75CEE"/>
    <w:multiLevelType w:val="multilevel"/>
    <w:tmpl w:val="C20A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44203"/>
    <w:multiLevelType w:val="multilevel"/>
    <w:tmpl w:val="672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44E8F"/>
    <w:multiLevelType w:val="multilevel"/>
    <w:tmpl w:val="2A20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393510">
    <w:abstractNumId w:val="6"/>
  </w:num>
  <w:num w:numId="2" w16cid:durableId="1901476857">
    <w:abstractNumId w:val="8"/>
  </w:num>
  <w:num w:numId="3" w16cid:durableId="1469857931">
    <w:abstractNumId w:val="0"/>
  </w:num>
  <w:num w:numId="4" w16cid:durableId="449905522">
    <w:abstractNumId w:val="4"/>
  </w:num>
  <w:num w:numId="5" w16cid:durableId="728695353">
    <w:abstractNumId w:val="5"/>
  </w:num>
  <w:num w:numId="6" w16cid:durableId="950476572">
    <w:abstractNumId w:val="7"/>
  </w:num>
  <w:num w:numId="7" w16cid:durableId="564947712">
    <w:abstractNumId w:val="1"/>
  </w:num>
  <w:num w:numId="8" w16cid:durableId="1078137884">
    <w:abstractNumId w:val="3"/>
  </w:num>
  <w:num w:numId="9" w16cid:durableId="36320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9A"/>
    <w:rsid w:val="000D03C4"/>
    <w:rsid w:val="00260C68"/>
    <w:rsid w:val="00367FC2"/>
    <w:rsid w:val="003711F2"/>
    <w:rsid w:val="00371F61"/>
    <w:rsid w:val="0054749F"/>
    <w:rsid w:val="005D2B73"/>
    <w:rsid w:val="006D3C91"/>
    <w:rsid w:val="00763618"/>
    <w:rsid w:val="007C1BD5"/>
    <w:rsid w:val="007D3709"/>
    <w:rsid w:val="0088443E"/>
    <w:rsid w:val="008916DD"/>
    <w:rsid w:val="00A1550E"/>
    <w:rsid w:val="00B9159A"/>
    <w:rsid w:val="00C61709"/>
    <w:rsid w:val="00CF47B2"/>
    <w:rsid w:val="00DC54E4"/>
    <w:rsid w:val="00E10DD1"/>
    <w:rsid w:val="00FC5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B235D"/>
  <w15:chartTrackingRefBased/>
  <w15:docId w15:val="{986A0F30-B540-4CE0-8AC1-B7DB02F5A77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59A"/>
    <w:pPr>
      <w:keepNext/>
      <w:keepLines/>
      <w:spacing w:before="360" w:after="260"/>
      <w:ind w:left="86" w:right="86"/>
      <w:outlineLvl w:val="0"/>
      <w:shd w:val="clear" w:color="auto" w:fill="005683"/>
      <w:pBdr>
        <w:top w:val="single" w:color="005683" w:sz="8" w:space="4"/>
        <w:left w:val="single" w:color="005683" w:sz="8" w:space="4"/>
        <w:bottom w:val="single" w:color="00A4BD" w:sz="24" w:space="4"/>
        <w:right w:val="single" w:color="005683" w:sz="8" w:space="4"/>
      </w:pBdr>
    </w:pPr>
    <w:rPr>
      <w:rFonts w:asciiTheme="majorHAnsi" w:eastAsiaTheme="majorEastAsia" w:hAnsiTheme="majorHAnsi" w:cstheme="majorBidi" w:ascii="Aptos" w:hAnsi="Aptos"/>
      <w:b/>
      <w:color w:val="FFFFFF"/>
      <w:sz w:val="27"/>
      <w:szCs w:val="40"/>
    </w:rPr>
  </w:style>
  <w:style w:type="paragraph" w:styleId="Heading2">
    <w:name w:val="heading 2"/>
    <w:basedOn w:val="Normal"/>
    <w:next w:val="Normal"/>
    <w:link w:val="Heading2Char"/>
    <w:uiPriority w:val="9"/>
    <w:semiHidden/>
    <w:unhideWhenUsed/>
    <w:qFormat/>
    <w:rsid w:val="00B9159A"/>
    <w:pPr>
      <w:keepNext/>
      <w:keepLines/>
      <w:spacing w:before="160" w:after="80"/>
      <w:outlineLvl w:val="1"/>
    </w:pPr>
    <w:rPr>
      <w:rFonts w:asciiTheme="majorHAnsi" w:eastAsiaTheme="majorEastAsia" w:hAnsiTheme="majorHAnsi" w:cstheme="majorBidi" w:ascii="Aptos" w:hAnsi="Aptos"/>
      <w:b/>
      <w:color w:val="007B8F"/>
      <w:sz w:val="25"/>
      <w:szCs w:val="32"/>
    </w:rPr>
  </w:style>
  <w:style w:type="paragraph" w:styleId="Heading3">
    <w:name w:val="heading 3"/>
    <w:basedOn w:val="Normal"/>
    <w:next w:val="Normal"/>
    <w:link w:val="Heading3Char"/>
    <w:uiPriority w:val="9"/>
    <w:semiHidden/>
    <w:unhideWhenUsed/>
    <w:qFormat/>
    <w:rsid w:val="00B9159A"/>
    <w:pPr>
      <w:keepNext/>
      <w:keepLines/>
      <w:spacing w:before="160" w:after="80"/>
      <w:outlineLvl w:val="2"/>
    </w:pPr>
    <w:rPr>
      <w:rFonts w:eastAsiaTheme="majorEastAsia" w:cstheme="majorBidi" w:ascii="Aptos" w:hAnsi="Aptos"/>
      <w:b/>
      <w:color w:val="005683"/>
      <w:sz w:val="24"/>
      <w:szCs w:val="28"/>
    </w:rPr>
  </w:style>
  <w:style w:type="paragraph" w:styleId="Heading4">
    <w:name w:val="heading 4"/>
    <w:basedOn w:val="Normal"/>
    <w:next w:val="Normal"/>
    <w:link w:val="Heading4Char"/>
    <w:uiPriority w:val="9"/>
    <w:semiHidden/>
    <w:unhideWhenUsed/>
    <w:qFormat/>
    <w:rsid w:val="00B91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59A"/>
    <w:rPr>
      <w:rFonts w:eastAsiaTheme="majorEastAsia" w:cstheme="majorBidi"/>
      <w:color w:val="272727" w:themeColor="text1" w:themeTint="D8"/>
    </w:rPr>
  </w:style>
  <w:style w:type="paragraph" w:styleId="Title">
    <w:name w:val="Title"/>
    <w:basedOn w:val="Normal"/>
    <w:next w:val="Normal"/>
    <w:link w:val="TitleChar"/>
    <w:uiPriority w:val="10"/>
    <w:qFormat/>
    <w:rsid w:val="00B9159A"/>
    <w:pPr>
      <w:spacing w:after="80" w:line="240" w:lineRule="auto"/>
      <w:contextualSpacing/>
    </w:pPr>
    <w:rPr>
      <w:rFonts w:asciiTheme="majorHAnsi" w:eastAsiaTheme="majorEastAsia" w:hAnsiTheme="majorHAnsi" w:cstheme="majorBidi" w:ascii="Aptos Display" w:hAnsi="Aptos Display"/>
      <w:b/>
      <w:color w:val="005683"/>
      <w:spacing w:val="-10"/>
      <w:kern w:val="28"/>
      <w:sz w:val="72"/>
      <w:szCs w:val="56"/>
    </w:rPr>
  </w:style>
  <w:style w:type="character" w:customStyle="1" w:styleId="TitleChar">
    <w:name w:val="Title Char"/>
    <w:basedOn w:val="DefaultParagraphFont"/>
    <w:link w:val="Title"/>
    <w:uiPriority w:val="10"/>
    <w:rsid w:val="00B91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59A"/>
    <w:pPr>
      <w:spacing w:before="160"/>
      <w:jc w:val="center"/>
    </w:pPr>
    <w:rPr>
      <w:i/>
      <w:iCs/>
      <w:color w:val="404040" w:themeColor="text1" w:themeTint="BF"/>
    </w:rPr>
  </w:style>
  <w:style w:type="character" w:customStyle="1" w:styleId="QuoteChar">
    <w:name w:val="Quote Char"/>
    <w:basedOn w:val="DefaultParagraphFont"/>
    <w:link w:val="Quote"/>
    <w:uiPriority w:val="29"/>
    <w:rsid w:val="00B9159A"/>
    <w:rPr>
      <w:i/>
      <w:iCs/>
      <w:color w:val="404040" w:themeColor="text1" w:themeTint="BF"/>
    </w:rPr>
  </w:style>
  <w:style w:type="paragraph" w:styleId="ListParagraph">
    <w:name w:val="List Paragraph"/>
    <w:basedOn w:val="Normal"/>
    <w:uiPriority w:val="34"/>
    <w:qFormat/>
    <w:rsid w:val="00B9159A"/>
    <w:pPr>
      <w:ind w:left="720"/>
      <w:contextualSpacing/>
    </w:pPr>
  </w:style>
  <w:style w:type="character" w:styleId="IntenseEmphasis">
    <w:name w:val="Intense Emphasis"/>
    <w:basedOn w:val="DefaultParagraphFont"/>
    <w:uiPriority w:val="21"/>
    <w:qFormat/>
    <w:rsid w:val="00B9159A"/>
    <w:rPr>
      <w:i/>
      <w:iCs/>
      <w:color w:val="0F4761" w:themeColor="accent1" w:themeShade="BF"/>
    </w:rPr>
  </w:style>
  <w:style w:type="paragraph" w:styleId="IntenseQuote">
    <w:name w:val="Intense Quote"/>
    <w:basedOn w:val="Normal"/>
    <w:next w:val="Normal"/>
    <w:link w:val="IntenseQuoteChar"/>
    <w:uiPriority w:val="30"/>
    <w:qFormat/>
    <w:rsid w:val="00B91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59A"/>
    <w:rPr>
      <w:i/>
      <w:iCs/>
      <w:color w:val="0F4761" w:themeColor="accent1" w:themeShade="BF"/>
    </w:rPr>
  </w:style>
  <w:style w:type="character" w:styleId="IntenseReference">
    <w:name w:val="Intense Reference"/>
    <w:basedOn w:val="DefaultParagraphFont"/>
    <w:uiPriority w:val="32"/>
    <w:qFormat/>
    <w:rsid w:val="00B9159A"/>
    <w:rPr>
      <w:b/>
      <w:bCs/>
      <w:smallCaps/>
      <w:color w:val="0F4761" w:themeColor="accent1" w:themeShade="BF"/>
      <w:spacing w:val="5"/>
    </w:rPr>
  </w:style>
  <w:style w:type="paragraph" w:styleId="Header">
    <w:name w:val="header"/>
    <w:basedOn w:val="Normal"/>
    <w:link w:val="HeaderChar"/>
    <w:uiPriority w:val="99"/>
    <w:unhideWhenUsed/>
    <w:rsid w:val="00C61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709"/>
  </w:style>
  <w:style w:type="paragraph" w:styleId="Footer">
    <w:name w:val="footer"/>
    <w:basedOn w:val="Normal"/>
    <w:link w:val="FooterChar"/>
    <w:uiPriority w:val="99"/>
    <w:unhideWhenUsed/>
    <w:rsid w:val="00C61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709"/>
  </w:style>
  <w:style w:type="paragraph" w:styleId="BodyText">
    <w:name w:val="Body Text"/>
    <w:basedOn w:val="Normal"/>
    <w:link w:val="BodyTextChar"/>
    <w:uiPriority w:val="1"/>
    <w:qFormat/>
    <w:rsid w:val="00C61709"/>
    <w:pPr>
      <w:widowControl w:val="0"/>
      <w:autoSpaceDE w:val="0"/>
      <w:autoSpaceDN w:val="0"/>
      <w:spacing w:after="0" w:line="240" w:lineRule="auto"/>
      <w:ind w:left="144"/>
    </w:pPr>
    <w:rPr>
      <w:rFonts w:ascii="Cambria" w:eastAsia="Cambria" w:hAnsi="Cambria" w:cs="Cambria"/>
      <w:kern w:val="0"/>
      <w:sz w:val="22"/>
      <w:szCs w:val="22"/>
      <w:lang w:val="en-US"/>
      <w14:ligatures w14:val="none"/>
    </w:rPr>
  </w:style>
  <w:style w:type="character" w:customStyle="1" w:styleId="BodyTextChar">
    <w:name w:val="Body Text Char"/>
    <w:basedOn w:val="DefaultParagraphFont"/>
    <w:link w:val="BodyText"/>
    <w:uiPriority w:val="1"/>
    <w:rsid w:val="00C61709"/>
    <w:rPr>
      <w:rFonts w:ascii="Cambria" w:eastAsia="Cambria" w:hAnsi="Cambria" w:cs="Cambria"/>
      <w:kern w:val="0"/>
      <w:sz w:val="22"/>
      <w:szCs w:val="22"/>
      <w:lang w:val="en-US"/>
      <w14:ligatures w14:val="none"/>
    </w:rPr>
  </w:style>
  <w:style w:type="table" w:styleId="TableGrid">
    <w:name w:val="Table Grid"/>
    <w:basedOn w:val="TableNormal"/>
    <w:uiPriority w:val="39"/>
    <w:rsid w:val="00C61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F47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orbitengineering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vijaytiwari@orbitengineerings.com" TargetMode="Externa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5.png"/><Relationship Id="rId4" Type="http://schemas.openxmlformats.org/officeDocument/2006/relationships/image" Target="media/image4.jpeg"/><Relationship Id="rIdOesLetterhead" Type="http://schemas.openxmlformats.org/officeDocument/2006/relationships/image" Target="media/oes-letterhe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07929-35CF-4C39-837C-0111E46B8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Web SCADA Branded Technical Documentation</dc:title>
  <dc:subject>Corporate technical overview and operating manual for Mohgaon Web SCADA</dc:subject>
  <dc:creator>Orbit Engineering Solutions</dc:creator>
  <cp:keywords>Web SCADA, Mohgaon, technical documentation, operating manual</cp:keywords>
  <dc:description/>
  <cp:lastModifiedBy>Orbit Engineering Solutions</cp:lastModifiedBy>
  <cp:revision>16</cp:revision>
  <dcterms:created xsi:type="dcterms:W3CDTF">2026-09-21T10:46:00Z</dcterms:created>
  <dcterms:modified xsi:type="dcterms:W3CDTF">2026-09-21T12:25:00Z</dcterms:modified>
</cp:coreProperties>
</file>