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center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/>
          <w:bCs/>
          <w:color w:val="000000"/>
          <w:sz w:val="36"/>
          <w:szCs w:val="36"/>
          <w:lang w:val="en-US" w:eastAsia="zh-CN"/>
        </w:rPr>
        <w:t>标定文件格式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标定文件，又称groundtruth文件，一般用来做误差量化，最终用于验证分类算法的准确性。</w:t>
      </w:r>
    </w:p>
    <w:p>
      <w:pPr>
        <w:rPr>
          <w:rFonts w:hint="default"/>
        </w:rPr>
      </w:pPr>
      <w:r>
        <w:rPr>
          <w:rFonts w:hint="default"/>
        </w:rPr>
        <w:t>data/SIFT1B/gnd/idx_1000M.ivecs</w:t>
      </w:r>
    </w:p>
    <w:p>
      <w:pPr>
        <w:rPr>
          <w:rFonts w:hint="default" w:ascii="Times New Roman" w:hAnsi="Times New Roman" w:eastAsia="宋体" w:cs="Times New Roman"/>
          <w:color w:val="4169E1"/>
          <w:sz w:val="24"/>
          <w:szCs w:val="24"/>
          <w:shd w:val="clear" w:color="auto" w:fill="E8F2FE"/>
          <w:lang w:val="en-US" w:eastAsia="zh-CN"/>
        </w:rPr>
      </w:pPr>
      <w:r>
        <w:rPr>
          <w:rFonts w:hint="default"/>
        </w:rPr>
        <w:t>data/DEEP1B/deep1B_groundtruth.ivecs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分别是sift1b和deep1b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完整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数据集的groundtruth文件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下面是不同数据集下的标定文件，可以看出sift1b针对多种数据集都提供了标定文件，deep1b只有针对完整10亿条记录的标定数据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DEEP1B/deep1B_groundtruth.ivecs</w:t>
      </w:r>
    </w:p>
    <w:p>
      <w:pPr>
        <w:rPr>
          <w:rFonts w:hint="eastAsia"/>
        </w:rPr>
      </w:pPr>
      <w:r>
        <w:rPr>
          <w:rFonts w:hint="eastAsia"/>
        </w:rPr>
        <w:t>SIFT1B/sift/sift_groundtruth.ivecs</w:t>
      </w:r>
    </w:p>
    <w:p>
      <w:pPr>
        <w:rPr>
          <w:rFonts w:hint="eastAsia"/>
        </w:rPr>
      </w:pPr>
      <w:r>
        <w:rPr>
          <w:rFonts w:hint="eastAsia"/>
        </w:rPr>
        <w:t>SIFT1B/siftsmall/siftsmall_groundtruth.ivecs</w:t>
      </w:r>
    </w:p>
    <w:p>
      <w:pPr>
        <w:rPr>
          <w:rFonts w:hint="eastAsia"/>
        </w:rPr>
      </w:pPr>
      <w:r>
        <w:rPr>
          <w:rFonts w:hint="eastAsia"/>
        </w:rPr>
        <w:t>SIFT1B/gnd/idx_2M.ivecs</w:t>
      </w:r>
    </w:p>
    <w:p>
      <w:pPr>
        <w:rPr>
          <w:rFonts w:hint="eastAsia"/>
        </w:rPr>
      </w:pPr>
      <w:r>
        <w:rPr>
          <w:rFonts w:hint="eastAsia"/>
        </w:rPr>
        <w:t>SIFT1B/gnd/idx_200M.ivecs</w:t>
      </w:r>
    </w:p>
    <w:p>
      <w:pPr>
        <w:rPr>
          <w:rFonts w:hint="eastAsia"/>
        </w:rPr>
      </w:pPr>
      <w:r>
        <w:rPr>
          <w:rFonts w:hint="eastAsia"/>
        </w:rPr>
        <w:t>SIFT1B/gnd/idx_5M.ivecs</w:t>
      </w:r>
    </w:p>
    <w:p>
      <w:pPr>
        <w:rPr>
          <w:rFonts w:hint="eastAsia"/>
        </w:rPr>
      </w:pPr>
      <w:r>
        <w:rPr>
          <w:rFonts w:hint="eastAsia"/>
        </w:rPr>
        <w:t>SIFT1B/gnd/idx_1M.ivecs</w:t>
      </w:r>
    </w:p>
    <w:p>
      <w:pPr>
        <w:rPr>
          <w:rFonts w:hint="eastAsia"/>
        </w:rPr>
      </w:pPr>
      <w:r>
        <w:rPr>
          <w:rFonts w:hint="eastAsia"/>
        </w:rPr>
        <w:t>SIFT1B/gnd/idx_500M.ivecs</w:t>
      </w:r>
    </w:p>
    <w:p>
      <w:pPr>
        <w:rPr>
          <w:rFonts w:hint="eastAsia"/>
        </w:rPr>
      </w:pPr>
      <w:r>
        <w:rPr>
          <w:rFonts w:hint="eastAsia"/>
        </w:rPr>
        <w:t>SIFT1B/gnd/idx_20M.ivecs</w:t>
      </w:r>
    </w:p>
    <w:p>
      <w:pPr>
        <w:rPr>
          <w:rFonts w:hint="eastAsia"/>
        </w:rPr>
      </w:pPr>
      <w:r>
        <w:rPr>
          <w:rFonts w:hint="eastAsia"/>
        </w:rPr>
        <w:t>SIFT1B/gnd/idx_100M.ivecs</w:t>
      </w:r>
    </w:p>
    <w:p>
      <w:pPr>
        <w:rPr>
          <w:rFonts w:hint="eastAsia"/>
        </w:rPr>
      </w:pPr>
      <w:r>
        <w:rPr>
          <w:rFonts w:hint="eastAsia"/>
        </w:rPr>
        <w:t>SIFT1B/gnd/idx_50M.ivecs</w:t>
      </w:r>
    </w:p>
    <w:p>
      <w:pPr>
        <w:rPr>
          <w:rFonts w:hint="eastAsia"/>
        </w:rPr>
      </w:pPr>
      <w:r>
        <w:rPr>
          <w:rFonts w:hint="eastAsia"/>
        </w:rPr>
        <w:t>SIFT1B/gnd/idx_10M.ivecs</w:t>
      </w:r>
    </w:p>
    <w:p>
      <w:pPr>
        <w:rPr>
          <w:rFonts w:hint="eastAsia"/>
        </w:rPr>
      </w:pPr>
      <w:r>
        <w:rPr>
          <w:rFonts w:hint="eastAsia"/>
        </w:rPr>
        <w:t>SIFT1B/gnd/idx_1000M.ivecs</w:t>
      </w:r>
    </w:p>
    <w:p>
      <w:pPr>
        <w:rPr>
          <w:rFonts w:hint="eastAsia"/>
        </w:rPr>
      </w:pPr>
      <w:r>
        <w:rPr>
          <w:rFonts w:hint="eastAsia"/>
        </w:rPr>
        <w:t>SIFT1B/gist/gist_groundtruth.ivecs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标定文件不能由代码生成，需要数据提供者提供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标定文件读取通过定义在 utils.h 里面的函数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color w:val="7F0055"/>
          <w:sz w:val="24"/>
          <w:szCs w:val="24"/>
        </w:rPr>
        <w:t>template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&lt;</w:t>
      </w:r>
      <w:r>
        <w:rPr>
          <w:rFonts w:hint="default" w:ascii="Times New Roman" w:hAnsi="Times New Roman" w:eastAsia="宋体" w:cs="Times New Roman"/>
          <w:b/>
          <w:color w:val="7F0055"/>
          <w:sz w:val="24"/>
          <w:szCs w:val="24"/>
        </w:rPr>
        <w:t>typename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b/>
          <w:color w:val="644632"/>
          <w:sz w:val="24"/>
          <w:szCs w:val="24"/>
        </w:rPr>
        <w:t>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color w:val="7F0055"/>
          <w:sz w:val="24"/>
          <w:szCs w:val="24"/>
        </w:rPr>
        <w:t>void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b/>
          <w:color w:val="000000"/>
          <w:sz w:val="24"/>
          <w:szCs w:val="24"/>
          <w:shd w:val="clear" w:color="auto" w:fill="D4D4D4"/>
        </w:rPr>
        <w:t>readXvec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(std::</w:t>
      </w:r>
      <w:r>
        <w:rPr>
          <w:rFonts w:hint="default" w:ascii="Times New Roman" w:hAnsi="Times New Roman" w:eastAsia="宋体" w:cs="Times New Roman"/>
          <w:color w:val="005032"/>
          <w:sz w:val="24"/>
          <w:szCs w:val="24"/>
        </w:rPr>
        <w:t>ifstream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&amp;in, </w:t>
      </w:r>
      <w:r>
        <w:rPr>
          <w:rFonts w:hint="default" w:ascii="Times New Roman" w:hAnsi="Times New Roman" w:eastAsia="宋体" w:cs="Times New Roman"/>
          <w:b/>
          <w:color w:val="644632"/>
          <w:sz w:val="24"/>
          <w:szCs w:val="24"/>
        </w:rPr>
        <w:t>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*data, </w:t>
      </w:r>
      <w:r>
        <w:rPr>
          <w:rFonts w:hint="default" w:ascii="Times New Roman" w:hAnsi="Times New Roman" w:eastAsia="宋体" w:cs="Times New Roman"/>
          <w:b/>
          <w:color w:val="7F0055"/>
          <w:sz w:val="24"/>
          <w:szCs w:val="24"/>
        </w:rPr>
        <w:t>const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5032"/>
          <w:sz w:val="24"/>
          <w:szCs w:val="24"/>
        </w:rPr>
        <w:t>size_t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d, </w:t>
      </w:r>
      <w:r>
        <w:rPr>
          <w:rFonts w:hint="default" w:ascii="Times New Roman" w:hAnsi="Times New Roman" w:eastAsia="宋体" w:cs="Times New Roman"/>
          <w:b/>
          <w:color w:val="7F0055"/>
          <w:sz w:val="24"/>
          <w:szCs w:val="24"/>
        </w:rPr>
        <w:t>const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5032"/>
          <w:sz w:val="24"/>
          <w:szCs w:val="24"/>
        </w:rPr>
        <w:t>size_t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n =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和索引文件加载不同，groundtruth文件加载没有封装成基于路径的加载函数，而是自己打开文件，然后通过上面的函数加载数据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从代码可以看出，groundtruth文件格式非常简单，以向量为单位逐条存放：</w:t>
      </w:r>
    </w:p>
    <w:tbl>
      <w:tblPr>
        <w:tblStyle w:val="4"/>
        <w:tblW w:w="16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向量记录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向量记录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向量记录 N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从文件格式设计上看，向量记录可以不是等长度的，因为每条记录的格式如下：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3"/>
        <w:gridCol w:w="4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当前记录对应的向量维度 N（4 字节，uint32_t类型）</w:t>
            </w:r>
          </w:p>
        </w:tc>
        <w:tc>
          <w:tcPr>
            <w:tcW w:w="472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向量数据（N 维，类型 idx_t，对sift1b和deep1b而言，其实就是uint32_t类型）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 xml:space="preserve">groundtruth的维度指的是，每个查询对应的groundtruth邻节点数，这个由groundtruth文件的提供者提供，从代码看，如果传递给 </w:t>
      </w:r>
      <w:r>
        <w:rPr>
          <w:rFonts w:hint="default" w:ascii="Times New Roman" w:hAnsi="Times New Roman" w:eastAsia="宋体" w:cs="Times New Roman"/>
          <w:b/>
          <w:color w:val="000000"/>
          <w:sz w:val="24"/>
          <w:szCs w:val="24"/>
          <w:shd w:val="clear" w:color="auto" w:fill="D4D4D4"/>
        </w:rPr>
        <w:t>readXvec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 xml:space="preserve"> 函数的维度和从groundtruth文件读取出来的维度不匹配，会导致程序异常退出。从 ivf-hnsw 里面提供的测试脚本看，deep1b采用维度值是1，sift1b采用的维度值是1000。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color w:val="000000"/>
          <w:sz w:val="24"/>
          <w:szCs w:val="24"/>
          <w:shd w:val="clear" w:color="auto" w:fill="D4D4D4"/>
        </w:rPr>
        <w:t>readXvec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 xml:space="preserve"> 函数的最后一个参数是查询数，代表后面搜索算法同时执行的查询数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从KNN相关的论文看，一般用查询数评估算法的扩展性，包括查询数和CPU时间的关系，查询数和I/O数的关系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1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color w:val="0000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FF"/>
                <w:sz w:val="24"/>
                <w:szCs w:val="24"/>
                <w:vertAlign w:val="baseline"/>
                <w:lang w:val="en-US" w:eastAsia="zh-CN"/>
              </w:rPr>
              <w:t>组成</w:t>
            </w:r>
          </w:p>
        </w:tc>
        <w:tc>
          <w:tcPr>
            <w:tcW w:w="41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color w:val="0000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FF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向量维度</w:t>
            </w:r>
          </w:p>
        </w:tc>
        <w:tc>
          <w:tcPr>
            <w:tcW w:w="41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uint32_t 类型，4 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向量索引</w:t>
            </w:r>
          </w:p>
        </w:tc>
        <w:tc>
          <w:tcPr>
            <w:tcW w:w="41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每个 centriod，需要一个向量描述当前 centriod 里面各个点的索引值，这里的向量维度就是centriod里面的点数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这里包含了所有的centriod的索引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每个索引当作一条记录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这些记录顺序存放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每条记录的格式都是：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4 字节的长度信息，表示 centriod 里面的点数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和长度信息匹配的每个点的索引值（32bit整数构成的向量，每一维对应一个点）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color w:val="4169E1"/>
          <w:sz w:val="24"/>
          <w:szCs w:val="24"/>
          <w:shd w:val="clear" w:color="auto" w:fill="E8F2F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FF"/>
          <w:sz w:val="24"/>
          <w:szCs w:val="24"/>
          <w:lang w:val="en-US" w:eastAsia="zh-CN"/>
        </w:rPr>
        <w:t>TODO: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color w:val="4169E1"/>
          <w:sz w:val="24"/>
          <w:szCs w:val="24"/>
          <w:shd w:val="clear" w:color="auto" w:fill="E8F2FE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根据这里的描述，编写标定文件验证工具，如果发现不符合上面的描述，报告错误，以便修正本文档，或者修正验证工具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color w:val="4169E1"/>
          <w:sz w:val="24"/>
          <w:szCs w:val="24"/>
          <w:shd w:val="clear" w:color="auto" w:fill="E8F2F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CA313E"/>
    <w:rsid w:val="10083227"/>
    <w:rsid w:val="45575B56"/>
    <w:rsid w:val="4857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2020-06-11T12:16:00Z</dcterms:created>
  <dc:creator>符青云</dc:creator>
  <cp:lastModifiedBy>符青云</cp:lastModifiedBy>
  <dcterms:modified xsi:type="dcterms:W3CDTF">2020-06-12T02:54:15Z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