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标定文件格式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标定文件，又称groundtruth文件，一般用来做误差量化，最终用于验证分类算法的准确性。</w:t>
      </w:r>
    </w:p>
    <w:p>
      <w:pPr>
        <w:rPr>
          <w:rFonts w:hint="default"/>
        </w:rPr>
      </w:pPr>
      <w:r>
        <w:rPr>
          <w:rFonts w:hint="default"/>
        </w:rPr>
        <w:t>data/SIFT1B/gnd/idx_1000M.ivecs</w:t>
      </w:r>
    </w:p>
    <w:p>
      <w:pP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 w:eastAsia="zh-CN"/>
        </w:rPr>
      </w:pPr>
      <w:r>
        <w:rPr>
          <w:rFonts w:hint="default"/>
        </w:rPr>
        <w:t>data/DEEP1B/deep1B_groundtruth.ivecs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分别是sift1b和deep1b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完整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数据集的groundtruth文件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下面是不同数据集下的标定文件，可以看出sift1b针对多种数据集都提供了标定文件，deep1b只有针对完整10亿条记录的标定数据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DEEP1B/deep1B_groundtruth.ivecs</w:t>
      </w:r>
    </w:p>
    <w:p>
      <w:pPr>
        <w:rPr>
          <w:rFonts w:hint="eastAsia"/>
        </w:rPr>
      </w:pPr>
      <w:r>
        <w:rPr>
          <w:rFonts w:hint="eastAsia"/>
        </w:rPr>
        <w:t>SIFT1B/sift/sift_groundtruth.ivecs</w:t>
      </w:r>
    </w:p>
    <w:p>
      <w:pPr>
        <w:rPr>
          <w:rFonts w:hint="eastAsia"/>
        </w:rPr>
      </w:pPr>
      <w:r>
        <w:rPr>
          <w:rFonts w:hint="eastAsia"/>
        </w:rPr>
        <w:t>SIFT1B/siftsmall/siftsmall_groundtruth.ivecs</w:t>
      </w:r>
    </w:p>
    <w:p>
      <w:pPr>
        <w:rPr>
          <w:rFonts w:hint="eastAsia"/>
        </w:rPr>
      </w:pPr>
      <w:r>
        <w:rPr>
          <w:rFonts w:hint="eastAsia"/>
        </w:rPr>
        <w:t>SIFT1B/gnd/idx_2M.ivecs</w:t>
      </w:r>
    </w:p>
    <w:p>
      <w:pPr>
        <w:rPr>
          <w:rFonts w:hint="eastAsia"/>
        </w:rPr>
      </w:pPr>
      <w:r>
        <w:rPr>
          <w:rFonts w:hint="eastAsia"/>
        </w:rPr>
        <w:t>SIFT1B/gnd/idx_200M.ivecs</w:t>
      </w:r>
    </w:p>
    <w:p>
      <w:pPr>
        <w:rPr>
          <w:rFonts w:hint="eastAsia"/>
        </w:rPr>
      </w:pPr>
      <w:r>
        <w:rPr>
          <w:rFonts w:hint="eastAsia"/>
        </w:rPr>
        <w:t>SIFT1B/gnd/idx_5M.ivecs</w:t>
      </w:r>
    </w:p>
    <w:p>
      <w:pPr>
        <w:rPr>
          <w:rFonts w:hint="eastAsia"/>
        </w:rPr>
      </w:pPr>
      <w:r>
        <w:rPr>
          <w:rFonts w:hint="eastAsia"/>
        </w:rPr>
        <w:t>SIFT1B/gnd/idx_1M.ivecs</w:t>
      </w:r>
    </w:p>
    <w:p>
      <w:pPr>
        <w:rPr>
          <w:rFonts w:hint="eastAsia"/>
        </w:rPr>
      </w:pPr>
      <w:r>
        <w:rPr>
          <w:rFonts w:hint="eastAsia"/>
        </w:rPr>
        <w:t>SIFT1B/gnd/idx_500M.ivecs</w:t>
      </w:r>
    </w:p>
    <w:p>
      <w:pPr>
        <w:rPr>
          <w:rFonts w:hint="eastAsia"/>
        </w:rPr>
      </w:pPr>
      <w:r>
        <w:rPr>
          <w:rFonts w:hint="eastAsia"/>
        </w:rPr>
        <w:t>SIFT1B/gnd/idx_20M.ivecs</w:t>
      </w:r>
    </w:p>
    <w:p>
      <w:pPr>
        <w:rPr>
          <w:rFonts w:hint="eastAsia"/>
        </w:rPr>
      </w:pPr>
      <w:r>
        <w:rPr>
          <w:rFonts w:hint="eastAsia"/>
        </w:rPr>
        <w:t>SIFT1B/gnd/idx_100M.ivecs</w:t>
      </w:r>
    </w:p>
    <w:p>
      <w:pPr>
        <w:rPr>
          <w:rFonts w:hint="eastAsia"/>
        </w:rPr>
      </w:pPr>
      <w:r>
        <w:rPr>
          <w:rFonts w:hint="eastAsia"/>
        </w:rPr>
        <w:t>SIFT1B/gnd/idx_50M.ivecs</w:t>
      </w:r>
    </w:p>
    <w:p>
      <w:pPr>
        <w:rPr>
          <w:rFonts w:hint="eastAsia"/>
        </w:rPr>
      </w:pPr>
      <w:r>
        <w:rPr>
          <w:rFonts w:hint="eastAsia"/>
        </w:rPr>
        <w:t>SIFT1B/gnd/idx_10M.ivecs</w:t>
      </w:r>
    </w:p>
    <w:p>
      <w:pPr>
        <w:rPr>
          <w:rFonts w:hint="eastAsia"/>
        </w:rPr>
      </w:pPr>
      <w:r>
        <w:rPr>
          <w:rFonts w:hint="eastAsia"/>
        </w:rPr>
        <w:t>SIFT1B/gnd/idx_1000M.ivecs</w:t>
      </w:r>
    </w:p>
    <w:p>
      <w:pPr>
        <w:rPr>
          <w:rFonts w:hint="eastAsia"/>
        </w:rPr>
      </w:pPr>
      <w:r>
        <w:rPr>
          <w:rFonts w:hint="eastAsia"/>
        </w:rPr>
        <w:t>SIFT1B/gist/gist_groundtruth.ivecs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标定文件不能由代码生成，需要数据提供者提供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标定文件读取通过定义在 utils.h 里面的函数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template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&lt;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typename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644632"/>
          <w:sz w:val="24"/>
          <w:szCs w:val="24"/>
        </w:rPr>
        <w:t>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(std::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ifstream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&amp;in, </w:t>
      </w:r>
      <w:r>
        <w:rPr>
          <w:rFonts w:hint="default" w:ascii="Times New Roman" w:hAnsi="Times New Roman" w:eastAsia="宋体" w:cs="Times New Roman"/>
          <w:b/>
          <w:color w:val="644632"/>
          <w:sz w:val="24"/>
          <w:szCs w:val="24"/>
        </w:rPr>
        <w:t>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*data,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n 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和索引文件加载不同，groundtruth文件加载没有封装成基于路径的加载函数，而是自己打开文件，然后通过上面的函数加载数据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从代码可以看出，groundtruth文件格式非常简单，以向量为单位逐条存放：</w:t>
      </w:r>
    </w:p>
    <w:tbl>
      <w:tblPr>
        <w:tblStyle w:val="4"/>
        <w:tblW w:w="1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从文件格式设计上看，向量记录可以不是等长度的，因为每条记录的格式如下：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当前记录对应的向量维度 N（4 字节，uint32_t类型）</w:t>
            </w:r>
          </w:p>
        </w:tc>
        <w:tc>
          <w:tcPr>
            <w:tcW w:w="47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向量数据（N 维，类型 idx_t，对sift1b和deep1b而言，其实就是uint32_t类型）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groundtruth的维度指的是，每个查询对应的groundtruth邻节点数，这个由groundtruth文件的提供者提供，从代码看，如果传递给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函数的维度和从groundtruth文件读取出来的维度不匹配，会导致程序异常退出。从 ivf-hnsw 里面提供的测试脚本看，deep1b采用维度值是1，sift1b采用的维度值是1000。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函数的最后一个参数是查询数，代表后面搜索算法同时执行的查询数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从KNN相关的论文看，一般用查询数评估算法的扩展性，包括查询数和CPU时间的关系，查询数和I/O数的关系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组成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向量维度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uint32_t 类型，4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向量索引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centriod，需要一个向量描述当前 centriod 里面各个点的索引值，这里的向量维度就是centriod里面的点数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这里包含了所有的centriod的索引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每个索引当作一条记录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这些记录顺序存放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每条记录的格式都是：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 字节的长度信息，表示 centriod 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和长度信息匹配的每个点的索引值（32bit整数构成的向量，每一维对应一个点）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根据这里的描述，编写标定文件验证工具，如果发现不符合上面的描述，报告错误，以便修正本文档，或者修正验证工具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A313E"/>
    <w:rsid w:val="10083227"/>
    <w:rsid w:val="4857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2020-06-11T12:16:00Z</dcterms:created>
  <dc:creator>符青云</dc:creator>
  <cp:lastModifiedBy>符青云</cp:lastModifiedBy>
  <dcterms:modified xsi:type="dcterms:W3CDTF">2020-06-12T02:21:43Z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