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黑体" w:hAnsi="黑体" w:eastAsia="黑体" w:cs="黑体"/>
          <w:b/>
          <w:bCs/>
          <w:color w:val="000000"/>
          <w:sz w:val="36"/>
          <w:szCs w:val="36"/>
          <w:lang w:val="en-US" w:eastAsia="zh-CN" w:bidi="ar-SA"/>
        </w:rPr>
        <w:t>PQ量化文件格式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PQ 文件的扩展名为：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.pq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"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，PQ文件不是sift1b和deep1b自带的，而是通过对训练数据作训练产生的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例如，运行完 bash examples/run_deep1b.sh 后，会生成：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models/DEEP1B/norm_pq16.pq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models/DEEP1B/pq16.pq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生成PQ文件的过程是：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加载学习向量集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  <w:t>data/DEEP1B/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deep1B_learn.fvecs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从上面的向量数据中随机选取一定数量的向量作为学习向量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通过IndexIVF_HNSW.cpp定义的如下函数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E8F2FE"/>
        </w:rPr>
        <w:t>IndexIVF_HNSW::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train_pq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>(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  <w:shd w:val="clear" w:color="auto" w:fill="E8F2FE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n,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float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*x)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得到PQ训练结果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通过faiss/index_io.cpp定义的如下函数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write_ProductQuantizer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(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  <w:shd w:val="clear" w:color="auto" w:fill="E8F2FE"/>
        </w:rPr>
        <w:t>ProductQuantizer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*pq,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char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 xml:space="preserve"> *fname)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将训练结果写入文件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从训练结果写入代码可以看出，PQ文件格式如下：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70C0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70C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输入向量大小，也就是向量的维度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这是 </w:t>
            </w:r>
            <w:r>
              <w:rPr>
                <w:rFonts w:hint="default" w:ascii="Times New Roman" w:hAnsi="Times New Roman" w:eastAsia="宋体" w:cs="Times New Roman"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ProductQuantizer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 的构造函数的参数d，这个构造函数在 </w:t>
            </w:r>
            <w:r>
              <w:rPr>
                <w:rFonts w:hint="default" w:ascii="Times New Roman" w:hAnsi="Times New Roman" w:eastAsia="宋体" w:cs="Times New Roman"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IndexIVF_HNSW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 的构造函数会被调用，初始化d的参数是dim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子量化器数目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每个量化器的索引精度（比特数）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向量总长度，就是随后的所有向量数据的总字节数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size_t 类型，8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每条记录的长度就是 sizeof(float) x 向量维度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.......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PQ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文件验证工具，如果发现不符合上面的描述，报告错误，以便修正本文档，或者修正验证工具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，验证的核心就是根据向量维度和向量总长度，看后面向量记录数是否匹配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D3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2020-06-12T01:55:00Z</dcterms:created>
  <dc:creator>符青云</dc:creator>
  <cp:lastModifiedBy>符青云</cp:lastModifiedBy>
  <dcterms:modified xsi:type="dcterms:W3CDTF">2020-06-12T07:15:44Z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