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36"/>
          <w:szCs w:val="36"/>
          <w:shd w:val="clear" w:fill="FFFFFF"/>
          <w:lang w:val="en-US" w:eastAsia="zh-CN"/>
        </w:rPr>
        <w:t>OR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36"/>
          <w:szCs w:val="36"/>
          <w:shd w:val="clear" w:fill="FFFFFF"/>
          <w:lang w:val="en-US" w:eastAsia="zh-CN"/>
        </w:rPr>
        <w:t>CV 向量文件格式定义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ORCV：Orcadt Computer Vision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 和类似系统的demo版本只有一个索引文件的设计不同，ORCV索引采用了三个数据文件的设计。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header信息，头部，记录向量数和其它各种选项，这个文件在运行过程中是变化的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每个centriod的归一化值，这是静态的，因为centriod在k-means算法跑完给定的数据后就确定的。系统运行过程中，只是使用k-means算法得到的centriod，并不更新。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向量，每个向量一条记录（添加向量的操作会向这个文件尾部追加记录）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header和centriod归一化值是在训练过程中创建的，初始版本n = 0，向量文件长度为0，被视作基础索引。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索引头部定义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索引头部通过结构体</w:t>
      </w:r>
      <w:r>
        <w:t>orcvhdr_t</w:t>
      </w:r>
      <w:r>
        <w:rPr>
          <w:rFonts w:hint="eastAsia"/>
          <w:lang w:val="en-US" w:eastAsia="zh-CN"/>
        </w:rPr>
        <w:t>定义，结构如下：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typedef struct orcvhdr {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 xml:space="preserve">    </w:t>
      </w:r>
      <w:r>
        <w:rPr>
          <w:b/>
          <w:bCs/>
          <w:sz w:val="20"/>
          <w:szCs w:val="20"/>
        </w:rPr>
        <w:t>uint32_t n;               // number of vectors (changes)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 </w:t>
      </w:r>
      <w:r>
        <w:rPr>
          <w:b/>
          <w:bCs/>
          <w:sz w:val="20"/>
          <w:szCs w:val="20"/>
        </w:rPr>
        <w:t>uint32_t nc;              // number of centroids (fixed)</w:t>
      </w:r>
    </w:p>
    <w:p>
      <w:pPr>
        <w:spacing w:after="0"/>
        <w:ind w:left="720"/>
        <w:rPr>
          <w:b/>
          <w:bCs/>
          <w:sz w:val="20"/>
          <w:szCs w:val="20"/>
          <w:lang w:val="fr-FR"/>
        </w:rPr>
      </w:pPr>
      <w:r>
        <w:rPr>
          <w:b/>
          <w:bCs/>
          <w:sz w:val="20"/>
          <w:szCs w:val="20"/>
        </w:rPr>
        <w:t xml:space="preserve"> 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 </w:t>
      </w:r>
      <w:r>
        <w:rPr>
          <w:b/>
          <w:bCs/>
          <w:sz w:val="20"/>
          <w:szCs w:val="20"/>
          <w:lang w:val="fr-FR"/>
        </w:rPr>
        <w:t xml:space="preserve">uint32_t code_size;      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</w:t>
      </w:r>
      <w:r>
        <w:rPr>
          <w:b/>
          <w:bCs/>
          <w:sz w:val="20"/>
          <w:szCs w:val="20"/>
          <w:lang w:val="fr-FR"/>
        </w:rPr>
        <w:t>// code size in PQ format</w:t>
      </w:r>
    </w:p>
    <w:p>
      <w:pPr>
        <w:spacing w:after="0"/>
        <w:ind w:left="720"/>
        <w:rPr>
          <w:b/>
          <w:bCs/>
          <w:sz w:val="20"/>
          <w:szCs w:val="20"/>
          <w:lang w:val="fr-FR"/>
        </w:rPr>
      </w:pPr>
      <w:r>
        <w:rPr>
          <w:b/>
          <w:bCs/>
          <w:sz w:val="20"/>
          <w:szCs w:val="20"/>
          <w:lang w:val="fr-FR"/>
        </w:rPr>
        <w:t xml:space="preserve"> 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 </w:t>
      </w:r>
      <w:r>
        <w:rPr>
          <w:b/>
          <w:bCs/>
          <w:sz w:val="20"/>
          <w:szCs w:val="20"/>
          <w:lang w:val="fr-FR"/>
        </w:rPr>
        <w:t xml:space="preserve">uint32_t code_bytes;     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</w:t>
      </w:r>
      <w:r>
        <w:rPr>
          <w:b/>
          <w:bCs/>
          <w:sz w:val="20"/>
          <w:szCs w:val="20"/>
          <w:lang w:val="fr-FR"/>
        </w:rPr>
        <w:t>// code size in bytes</w:t>
      </w:r>
    </w:p>
    <w:p>
      <w:pPr>
        <w:spacing w:after="0"/>
        <w:ind w:left="720"/>
        <w:rPr>
          <w:b/>
          <w:bCs/>
          <w:sz w:val="20"/>
          <w:szCs w:val="20"/>
          <w:lang w:val="fr-FR"/>
        </w:rPr>
      </w:pPr>
      <w:r>
        <w:rPr>
          <w:b/>
          <w:bCs/>
          <w:sz w:val="20"/>
          <w:szCs w:val="20"/>
          <w:lang w:val="fr-FR"/>
        </w:rPr>
        <w:t xml:space="preserve"> 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 </w:t>
      </w:r>
      <w:r>
        <w:rPr>
          <w:b/>
          <w:bCs/>
          <w:sz w:val="20"/>
          <w:szCs w:val="20"/>
          <w:lang w:val="fr-FR"/>
        </w:rPr>
        <w:t>uint32_t d;               // vector dimensions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fr-FR"/>
        </w:rPr>
        <w:t xml:space="preserve"> 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 </w:t>
      </w:r>
      <w:r>
        <w:rPr>
          <w:b/>
          <w:bCs/>
          <w:sz w:val="20"/>
          <w:szCs w:val="20"/>
        </w:rPr>
        <w:t>uint32_t M;               // seach index internal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 </w:t>
      </w:r>
      <w:r>
        <w:rPr>
          <w:b/>
          <w:bCs/>
          <w:sz w:val="20"/>
          <w:szCs w:val="20"/>
        </w:rPr>
        <w:t xml:space="preserve"> uint32_t efConstruction; 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 </w:t>
      </w:r>
      <w:r>
        <w:rPr>
          <w:b/>
          <w:bCs/>
          <w:sz w:val="20"/>
          <w:szCs w:val="20"/>
        </w:rPr>
        <w:t>// search index internal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 </w:t>
      </w:r>
      <w:r>
        <w:rPr>
          <w:b/>
          <w:bCs/>
          <w:sz w:val="20"/>
          <w:szCs w:val="20"/>
        </w:rPr>
        <w:t xml:space="preserve">float32_t dmatch;        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</w:t>
      </w:r>
      <w:r>
        <w:rPr>
          <w:b/>
          <w:bCs/>
          <w:sz w:val="20"/>
          <w:szCs w:val="20"/>
        </w:rPr>
        <w:t>// distance for vector match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 </w:t>
      </w:r>
      <w:r>
        <w:rPr>
          <w:b/>
          <w:bCs/>
          <w:sz w:val="20"/>
          <w:szCs w:val="20"/>
        </w:rPr>
        <w:t xml:space="preserve">float32_t dnear;         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</w:t>
      </w:r>
      <w:r>
        <w:rPr>
          <w:b/>
          <w:bCs/>
          <w:sz w:val="20"/>
          <w:szCs w:val="20"/>
        </w:rPr>
        <w:t>// distance for vector near match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 </w:t>
      </w:r>
      <w:r>
        <w:rPr>
          <w:b/>
          <w:bCs/>
          <w:sz w:val="20"/>
          <w:szCs w:val="20"/>
        </w:rPr>
        <w:t xml:space="preserve"> uint8_t do_opq;           // if vector rotation matrix is used</w:t>
      </w:r>
    </w:p>
    <w:p>
      <w:pPr>
        <w:spacing w:after="0"/>
        <w:ind w:left="720"/>
        <w:rPr>
          <w:rFonts w:hint="eastAsia"/>
          <w:lang w:val="en-US" w:eastAsia="zh-CN"/>
        </w:rPr>
      </w:pPr>
      <w:r>
        <w:rPr>
          <w:b/>
          <w:bCs/>
          <w:sz w:val="20"/>
          <w:szCs w:val="20"/>
        </w:rPr>
        <w:t>} orcvhdr_t;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在训练结束，开始启动索引服务前，必须创建好这个文件。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这些文件通过ivf-hnsw/examples/run_*.sh 脚本创建。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orcvhdr_t 结构体的成员参考自 Parser.h。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归一化的centriod文件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理解centriod文件的格式，可以阅读代码 </w:t>
      </w:r>
      <w:r>
        <w:t>index-&gt;write()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这个文件格式比较简单，开始是4字节长度（centriod的数目），后面是和长度信息匹配的centriod数据，每个centriod数据是一个float类型的浮点数。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向量文件格式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每个向量包含：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8 bytes的EID，这是为向量分配的全局应用ID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 bytes的centriod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PQ字节形式的向量（PQ长度为16时对应2字节）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PQ字节形式的向量归一化（1字节）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注意：这个文件没有内部向量id，这个文件是个数组，向量ID是数组索引，用于得到文件索引。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Home目录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索引服务的环境变量包括home目录和监听端口。在home目录下，有一系列文件：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sprintf(env.idxpath, "%s/idx.vec", env.home);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sprintf(env.hdrpath, "%s/hdr.vec", env.home);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sprintf(env.centidpath, "%s/centid.vec", env.home);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sprintf(env.cnormspath, "%s/cnorms.vec", env.home);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sprintf(env.pqpath, "%s/pq.vec", env.home);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sprintf(env.opqpath, "%s/opq.vec", env.home);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sprintf(env.normpqpath, "%s/normpq.vec", env.home);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sprintf(env.centpath, "%s/cent.vec", env.home);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sprintf(env.edgepath, "%s/edge.vec", env.home);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sprintf(env.nodepath, "%s/node.vec", env.home);</w:t>
      </w:r>
    </w:p>
    <w:p>
      <w:pPr>
        <w:rPr>
          <w:rFonts w:hint="eastAsia"/>
          <w:lang w:val="en-US" w:eastAsia="zh-CN"/>
        </w:rPr>
      </w:pPr>
    </w:p>
    <w:p>
      <w:pPr>
        <w:spacing w:after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注意：我们希望文件扩展名和读写这类文件的工具完全匹配。就是说，根据文件扩展名，匹配文件格式，确定读取文件的方式。</w:t>
      </w:r>
    </w:p>
    <w:p>
      <w:pPr>
        <w:spacing w:after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通过上面定义的索引组件，别的没有提到的文件和ivf-hnsw中benchmarks涉及的文件格式完全一致，也是基础索引文件集合的一部分。ORCV只是标准化了路径命名，而不是使用命令行选项。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6DDEF"/>
    <w:multiLevelType w:val="singleLevel"/>
    <w:tmpl w:val="5EE6DDE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F2CAF"/>
    <w:rsid w:val="0D8C045D"/>
    <w:rsid w:val="46E6417E"/>
    <w:rsid w:val="581F2CAF"/>
    <w:rsid w:val="62A3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2020-06-15T01:22:00Z</dcterms:created>
  <dc:creator>符青云</dc:creator>
  <cp:lastModifiedBy>符青云</cp:lastModifiedBy>
  <dcterms:modified xsi:type="dcterms:W3CDTF">2020-06-15T02:43:13Z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