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7547E" w14:textId="26B3E928" w:rsidR="001F0ABB" w:rsidRPr="00C8094A" w:rsidRDefault="001F0ABB" w:rsidP="001F0ABB">
      <w:pPr>
        <w:pStyle w:val="NormalWeb"/>
        <w:rPr>
          <w:rFonts w:asciiTheme="minorHAnsi" w:hAnsiTheme="minorHAnsi"/>
          <w:b/>
          <w:bCs/>
          <w:sz w:val="20"/>
          <w:szCs w:val="20"/>
        </w:rPr>
      </w:pPr>
      <w:r w:rsidRPr="00C8094A">
        <w:rPr>
          <w:rStyle w:val="Strong"/>
          <w:rFonts w:asciiTheme="minorHAnsi" w:eastAsiaTheme="majorEastAsia" w:hAnsiTheme="minorHAnsi"/>
          <w:sz w:val="20"/>
          <w:szCs w:val="20"/>
        </w:rPr>
        <w:t>Product Type:</w:t>
      </w:r>
      <w:r w:rsidRPr="00C8094A">
        <w:rPr>
          <w:rFonts w:asciiTheme="minorHAnsi" w:hAnsiTheme="minorHAnsi"/>
          <w:sz w:val="20"/>
          <w:szCs w:val="20"/>
        </w:rPr>
        <w:t xml:space="preserve"> </w:t>
      </w:r>
      <w:r w:rsidR="004A24B4" w:rsidRPr="00C8094A">
        <w:rPr>
          <w:rFonts w:asciiTheme="minorHAnsi" w:hAnsiTheme="minorHAnsi"/>
          <w:sz w:val="20"/>
          <w:szCs w:val="20"/>
        </w:rPr>
        <w:t>Short-Term Deposits</w:t>
      </w:r>
    </w:p>
    <w:p w14:paraId="70E13CC3" w14:textId="77777777" w:rsidR="001F0ABB" w:rsidRPr="00C8094A" w:rsidRDefault="001F0ABB" w:rsidP="001F0ABB">
      <w:pPr>
        <w:pStyle w:val="NormalWeb"/>
        <w:rPr>
          <w:rFonts w:asciiTheme="minorHAnsi" w:hAnsiTheme="minorHAnsi"/>
          <w:sz w:val="20"/>
          <w:szCs w:val="20"/>
        </w:rPr>
      </w:pPr>
      <w:r w:rsidRPr="00C8094A">
        <w:rPr>
          <w:rStyle w:val="Strong"/>
          <w:rFonts w:asciiTheme="minorHAnsi" w:eastAsiaTheme="majorEastAsia" w:hAnsiTheme="minorHAnsi"/>
          <w:sz w:val="20"/>
          <w:szCs w:val="20"/>
        </w:rPr>
        <w:t>Product Name:</w:t>
      </w:r>
      <w:r w:rsidRPr="00C8094A">
        <w:rPr>
          <w:rFonts w:asciiTheme="minorHAnsi" w:hAnsiTheme="minorHAnsi"/>
          <w:sz w:val="20"/>
          <w:szCs w:val="20"/>
        </w:rPr>
        <w:t xml:space="preserve"> Talaat Harb Certificate</w:t>
      </w:r>
    </w:p>
    <w:p w14:paraId="0BE500A0" w14:textId="77777777" w:rsidR="001F0ABB" w:rsidRPr="00C8094A" w:rsidRDefault="001F0ABB" w:rsidP="001F0ABB">
      <w:pPr>
        <w:pStyle w:val="NormalWeb"/>
        <w:rPr>
          <w:rFonts w:asciiTheme="minorHAnsi" w:hAnsiTheme="minorHAnsi"/>
          <w:sz w:val="20"/>
          <w:szCs w:val="20"/>
        </w:rPr>
      </w:pPr>
      <w:r w:rsidRPr="00C8094A">
        <w:rPr>
          <w:rStyle w:val="Strong"/>
          <w:rFonts w:asciiTheme="minorHAnsi" w:eastAsiaTheme="majorEastAsia" w:hAnsiTheme="minorHAnsi"/>
          <w:sz w:val="20"/>
          <w:szCs w:val="20"/>
        </w:rPr>
        <w:t>Product Description:</w:t>
      </w:r>
      <w:r w:rsidRPr="00C8094A">
        <w:rPr>
          <w:rFonts w:asciiTheme="minorHAnsi" w:hAnsiTheme="minorHAnsi"/>
          <w:sz w:val="20"/>
          <w:szCs w:val="20"/>
        </w:rPr>
        <w:t xml:space="preserve"> The Talaat Harb Certificate is a fixed-term deposit with a tenor of 12 months. The minimum issuance amount is EGP 1000, with the annual fixed interest rate of 23.5% paid monthly or at maturity. The certificate can be fully or partially redeemed after 6 months from the issuance date. It offers eligibility for secured facilities and the option to issue a Credit Card with free issuance fees for Gold, Titanium, or Platinum cards for a limited period. The certificate can be acquired through the internet, BM online, and Banque Misr ATMs. Key terms include that it is available to individuals (Egyptian or foreign), cannot be assigned or waived, and must be purchased by deduction from a current or savings account. Interest rates and redemption terms are determined by the bank, and in case of premature redemption, the interest refund will be adjusted according to applicable regulations.</w:t>
      </w:r>
    </w:p>
    <w:p w14:paraId="5F047906" w14:textId="77777777" w:rsidR="004A24B4" w:rsidRPr="00C8094A" w:rsidRDefault="004A24B4" w:rsidP="001F0ABB">
      <w:pPr>
        <w:rPr>
          <w:sz w:val="8"/>
          <w:szCs w:val="8"/>
          <w:rtl/>
          <w:lang w:bidi="ar-EG"/>
        </w:rPr>
        <w:sectPr w:rsidR="004A24B4" w:rsidRPr="00C8094A" w:rsidSect="007306CD">
          <w:pgSz w:w="11906" w:h="16838"/>
          <w:pgMar w:top="1440" w:right="1800" w:bottom="1440" w:left="1800" w:header="708" w:footer="708" w:gutter="0"/>
          <w:cols w:space="708"/>
          <w:bidi/>
          <w:rtlGutter/>
          <w:docGrid w:linePitch="360"/>
        </w:sectPr>
      </w:pPr>
    </w:p>
    <w:p w14:paraId="64920BFA" w14:textId="77777777" w:rsidR="008237D2" w:rsidRPr="00C8094A" w:rsidRDefault="008237D2" w:rsidP="008237D2">
      <w:pPr>
        <w:jc w:val="right"/>
        <w:rPr>
          <w:sz w:val="20"/>
          <w:szCs w:val="20"/>
          <w:lang w:bidi="ar-EG"/>
        </w:rPr>
      </w:pPr>
      <w:r w:rsidRPr="00C8094A">
        <w:rPr>
          <w:b/>
          <w:bCs/>
          <w:sz w:val="20"/>
          <w:szCs w:val="20"/>
          <w:lang w:bidi="ar-EG"/>
        </w:rPr>
        <w:lastRenderedPageBreak/>
        <w:t>Product Type:</w:t>
      </w:r>
      <w:r w:rsidRPr="00C8094A">
        <w:rPr>
          <w:sz w:val="20"/>
          <w:szCs w:val="20"/>
          <w:lang w:bidi="ar-EG"/>
        </w:rPr>
        <w:t xml:space="preserve"> Short-term deposits</w:t>
      </w:r>
    </w:p>
    <w:p w14:paraId="51E25C65" w14:textId="77777777" w:rsidR="008237D2" w:rsidRPr="00C8094A" w:rsidRDefault="008237D2" w:rsidP="008237D2">
      <w:pPr>
        <w:jc w:val="right"/>
        <w:rPr>
          <w:sz w:val="20"/>
          <w:szCs w:val="20"/>
          <w:lang w:bidi="ar-EG"/>
        </w:rPr>
      </w:pPr>
      <w:r w:rsidRPr="00C8094A">
        <w:rPr>
          <w:b/>
          <w:bCs/>
          <w:sz w:val="20"/>
          <w:szCs w:val="20"/>
          <w:lang w:bidi="ar-EG"/>
        </w:rPr>
        <w:t>Product Name:</w:t>
      </w:r>
      <w:r w:rsidRPr="00C8094A">
        <w:rPr>
          <w:sz w:val="20"/>
          <w:szCs w:val="20"/>
          <w:lang w:bidi="ar-EG"/>
        </w:rPr>
        <w:t xml:space="preserve"> El </w:t>
      </w:r>
      <w:proofErr w:type="spellStart"/>
      <w:r w:rsidRPr="00C8094A">
        <w:rPr>
          <w:sz w:val="20"/>
          <w:szCs w:val="20"/>
          <w:lang w:bidi="ar-EG"/>
        </w:rPr>
        <w:t>Tholatheya</w:t>
      </w:r>
      <w:proofErr w:type="spellEnd"/>
      <w:r w:rsidRPr="00C8094A">
        <w:rPr>
          <w:sz w:val="20"/>
          <w:szCs w:val="20"/>
          <w:lang w:bidi="ar-EG"/>
        </w:rPr>
        <w:t xml:space="preserve"> Certificate</w:t>
      </w:r>
    </w:p>
    <w:p w14:paraId="73FF8214" w14:textId="77777777" w:rsidR="008237D2" w:rsidRPr="00C8094A" w:rsidRDefault="008237D2" w:rsidP="008237D2">
      <w:pPr>
        <w:jc w:val="right"/>
        <w:rPr>
          <w:sz w:val="20"/>
          <w:szCs w:val="20"/>
          <w:lang w:bidi="ar-EG"/>
        </w:rPr>
      </w:pPr>
      <w:r w:rsidRPr="00C8094A">
        <w:rPr>
          <w:b/>
          <w:bCs/>
          <w:sz w:val="20"/>
          <w:szCs w:val="20"/>
          <w:lang w:bidi="ar-EG"/>
        </w:rPr>
        <w:t>Product Description:</w:t>
      </w:r>
      <w:r w:rsidRPr="00C8094A">
        <w:rPr>
          <w:sz w:val="20"/>
          <w:szCs w:val="20"/>
          <w:lang w:bidi="ar-EG"/>
        </w:rPr>
        <w:t xml:space="preserve"> The El </w:t>
      </w:r>
      <w:proofErr w:type="spellStart"/>
      <w:r w:rsidRPr="00C8094A">
        <w:rPr>
          <w:sz w:val="20"/>
          <w:szCs w:val="20"/>
          <w:lang w:bidi="ar-EG"/>
        </w:rPr>
        <w:t>Tholatheya</w:t>
      </w:r>
      <w:proofErr w:type="spellEnd"/>
      <w:r w:rsidRPr="00C8094A">
        <w:rPr>
          <w:sz w:val="20"/>
          <w:szCs w:val="20"/>
          <w:lang w:bidi="ar-EG"/>
        </w:rPr>
        <w:t xml:space="preserve"> Certificate is a savings product available in two types, each with a 3-year tenor. The monthly interest variant requires a minimum purchase amount of EGP 500, while the quarterly interest variant requires EGP 1000. For the monthly interest variant, the annual variable interest rate is paid monthly, and for the quarterly interest variant, it is paid quarterly. The annual interest rate for the quarterly variant is 27.50%. Certificates can be fully or partially redeemed after 6 months from the issuance date. Eligibility for secured facilities is determined based on the Certificates of Deposit classification. General conditions include the inability to assign or waive the certificate, automatic interest transfer to the customer’s account, and specific rules for premature redemption, including the possible adjustment of interest refunds according to applicable regulations.</w:t>
      </w:r>
    </w:p>
    <w:p w14:paraId="709D43EA" w14:textId="77777777" w:rsidR="00100E4D" w:rsidRPr="00C8094A" w:rsidRDefault="00100E4D" w:rsidP="008237D2">
      <w:pPr>
        <w:jc w:val="right"/>
        <w:rPr>
          <w:sz w:val="20"/>
          <w:szCs w:val="20"/>
          <w:rtl/>
          <w:lang w:bidi="ar-EG"/>
        </w:rPr>
        <w:sectPr w:rsidR="00100E4D" w:rsidRPr="00C8094A" w:rsidSect="007306CD">
          <w:pgSz w:w="11906" w:h="16838"/>
          <w:pgMar w:top="1440" w:right="1800" w:bottom="1440" w:left="1800" w:header="708" w:footer="708" w:gutter="0"/>
          <w:cols w:space="708"/>
          <w:bidi/>
          <w:rtlGutter/>
          <w:docGrid w:linePitch="360"/>
        </w:sectPr>
      </w:pPr>
    </w:p>
    <w:p w14:paraId="1557F7BA" w14:textId="77777777" w:rsidR="00F43366" w:rsidRPr="00C8094A" w:rsidRDefault="00F43366" w:rsidP="00F43366">
      <w:pPr>
        <w:jc w:val="right"/>
        <w:rPr>
          <w:lang w:bidi="ar-EG"/>
        </w:rPr>
      </w:pPr>
      <w:r w:rsidRPr="00C8094A">
        <w:rPr>
          <w:b/>
          <w:bCs/>
          <w:lang w:bidi="ar-EG"/>
        </w:rPr>
        <w:lastRenderedPageBreak/>
        <w:t>Product Type</w:t>
      </w:r>
      <w:r w:rsidRPr="00C8094A">
        <w:rPr>
          <w:lang w:bidi="ar-EG"/>
        </w:rPr>
        <w:t>: Short-term deposits</w:t>
      </w:r>
    </w:p>
    <w:p w14:paraId="6AC75D8E" w14:textId="77777777" w:rsidR="00F43366" w:rsidRPr="00C8094A" w:rsidRDefault="00F43366" w:rsidP="00F43366">
      <w:pPr>
        <w:jc w:val="right"/>
        <w:rPr>
          <w:lang w:bidi="ar-EG"/>
        </w:rPr>
      </w:pPr>
      <w:r w:rsidRPr="00C8094A">
        <w:rPr>
          <w:b/>
          <w:bCs/>
          <w:lang w:bidi="ar-EG"/>
        </w:rPr>
        <w:t>Product Name</w:t>
      </w:r>
      <w:r w:rsidRPr="00C8094A">
        <w:rPr>
          <w:lang w:bidi="ar-EG"/>
        </w:rPr>
        <w:t>: Al-</w:t>
      </w:r>
      <w:proofErr w:type="spellStart"/>
      <w:r w:rsidRPr="00C8094A">
        <w:rPr>
          <w:lang w:bidi="ar-EG"/>
        </w:rPr>
        <w:t>Qema</w:t>
      </w:r>
      <w:proofErr w:type="spellEnd"/>
      <w:r w:rsidRPr="00C8094A">
        <w:rPr>
          <w:lang w:bidi="ar-EG"/>
        </w:rPr>
        <w:t xml:space="preserve"> Dollar Certificate</w:t>
      </w:r>
    </w:p>
    <w:p w14:paraId="7D5CF942" w14:textId="77777777" w:rsidR="00F43366" w:rsidRPr="00C8094A" w:rsidRDefault="00F43366" w:rsidP="00F43366">
      <w:pPr>
        <w:jc w:val="right"/>
        <w:rPr>
          <w:rtl/>
          <w:lang w:bidi="ar-EG"/>
        </w:rPr>
      </w:pPr>
      <w:r w:rsidRPr="00C8094A">
        <w:rPr>
          <w:b/>
          <w:bCs/>
          <w:lang w:bidi="ar-EG"/>
        </w:rPr>
        <w:t>Product Description</w:t>
      </w:r>
      <w:r w:rsidRPr="00C8094A">
        <w:rPr>
          <w:lang w:bidi="ar-EG"/>
        </w:rPr>
        <w:t>: The Al-</w:t>
      </w:r>
      <w:proofErr w:type="spellStart"/>
      <w:r w:rsidRPr="00C8094A">
        <w:rPr>
          <w:lang w:bidi="ar-EG"/>
        </w:rPr>
        <w:t>Qema</w:t>
      </w:r>
      <w:proofErr w:type="spellEnd"/>
      <w:r w:rsidRPr="00C8094A">
        <w:rPr>
          <w:lang w:bidi="ar-EG"/>
        </w:rPr>
        <w:t xml:space="preserve"> Dollar Certificate is a 3-year short-term deposit product denominated in US Dollars, offering a fixed annual interest rate of 9%, paid in advance in Egyptian pounds. The certificate, which requires a minimum denomination of USD 1000, is non-renewable and can only be redeemed after 6 months from the purchase date, with decreasing redemption rates of 6% in the first year, 6.5% in the second year, and 7% in the third year. It is available to both Egyptian and foreign individuals and mandates the maintenance of accounts in both Egyptian pounds and US dollars. The certificate is non-transferable and cannot be used as collateral for loans.</w:t>
      </w:r>
    </w:p>
    <w:sectPr w:rsidR="00F43366" w:rsidRPr="00C8094A" w:rsidSect="00730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9E"/>
    <w:rsid w:val="000D58A7"/>
    <w:rsid w:val="00100E4D"/>
    <w:rsid w:val="001F0ABB"/>
    <w:rsid w:val="00444883"/>
    <w:rsid w:val="004A24B4"/>
    <w:rsid w:val="00572D0A"/>
    <w:rsid w:val="00673842"/>
    <w:rsid w:val="006E1B8F"/>
    <w:rsid w:val="007306CD"/>
    <w:rsid w:val="008237D2"/>
    <w:rsid w:val="008442D3"/>
    <w:rsid w:val="008B74CB"/>
    <w:rsid w:val="008C46E1"/>
    <w:rsid w:val="00A11F9E"/>
    <w:rsid w:val="00AE2A8B"/>
    <w:rsid w:val="00C8094A"/>
    <w:rsid w:val="00E83D3C"/>
    <w:rsid w:val="00EA1D1B"/>
    <w:rsid w:val="00F43366"/>
    <w:rsid w:val="00FC0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2D9D"/>
  <w15:chartTrackingRefBased/>
  <w15:docId w15:val="{26F4DCB8-2577-431B-B759-3539685E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11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F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F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F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F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F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F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F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F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F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F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F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F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F9E"/>
    <w:rPr>
      <w:rFonts w:eastAsiaTheme="majorEastAsia" w:cstheme="majorBidi"/>
      <w:color w:val="272727" w:themeColor="text1" w:themeTint="D8"/>
    </w:rPr>
  </w:style>
  <w:style w:type="paragraph" w:styleId="Title">
    <w:name w:val="Title"/>
    <w:basedOn w:val="Normal"/>
    <w:next w:val="Normal"/>
    <w:link w:val="TitleChar"/>
    <w:uiPriority w:val="10"/>
    <w:qFormat/>
    <w:rsid w:val="00A11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F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F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F9E"/>
    <w:pPr>
      <w:spacing w:before="160"/>
      <w:jc w:val="center"/>
    </w:pPr>
    <w:rPr>
      <w:i/>
      <w:iCs/>
      <w:color w:val="404040" w:themeColor="text1" w:themeTint="BF"/>
    </w:rPr>
  </w:style>
  <w:style w:type="character" w:customStyle="1" w:styleId="QuoteChar">
    <w:name w:val="Quote Char"/>
    <w:basedOn w:val="DefaultParagraphFont"/>
    <w:link w:val="Quote"/>
    <w:uiPriority w:val="29"/>
    <w:rsid w:val="00A11F9E"/>
    <w:rPr>
      <w:i/>
      <w:iCs/>
      <w:color w:val="404040" w:themeColor="text1" w:themeTint="BF"/>
    </w:rPr>
  </w:style>
  <w:style w:type="paragraph" w:styleId="ListParagraph">
    <w:name w:val="List Paragraph"/>
    <w:basedOn w:val="Normal"/>
    <w:uiPriority w:val="34"/>
    <w:qFormat/>
    <w:rsid w:val="00A11F9E"/>
    <w:pPr>
      <w:ind w:left="720"/>
      <w:contextualSpacing/>
    </w:pPr>
  </w:style>
  <w:style w:type="character" w:styleId="IntenseEmphasis">
    <w:name w:val="Intense Emphasis"/>
    <w:basedOn w:val="DefaultParagraphFont"/>
    <w:uiPriority w:val="21"/>
    <w:qFormat/>
    <w:rsid w:val="00A11F9E"/>
    <w:rPr>
      <w:i/>
      <w:iCs/>
      <w:color w:val="0F4761" w:themeColor="accent1" w:themeShade="BF"/>
    </w:rPr>
  </w:style>
  <w:style w:type="paragraph" w:styleId="IntenseQuote">
    <w:name w:val="Intense Quote"/>
    <w:basedOn w:val="Normal"/>
    <w:next w:val="Normal"/>
    <w:link w:val="IntenseQuoteChar"/>
    <w:uiPriority w:val="30"/>
    <w:qFormat/>
    <w:rsid w:val="00A11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F9E"/>
    <w:rPr>
      <w:i/>
      <w:iCs/>
      <w:color w:val="0F4761" w:themeColor="accent1" w:themeShade="BF"/>
    </w:rPr>
  </w:style>
  <w:style w:type="character" w:styleId="IntenseReference">
    <w:name w:val="Intense Reference"/>
    <w:basedOn w:val="DefaultParagraphFont"/>
    <w:uiPriority w:val="32"/>
    <w:qFormat/>
    <w:rsid w:val="00A11F9E"/>
    <w:rPr>
      <w:b/>
      <w:bCs/>
      <w:smallCaps/>
      <w:color w:val="0F4761" w:themeColor="accent1" w:themeShade="BF"/>
      <w:spacing w:val="5"/>
    </w:rPr>
  </w:style>
  <w:style w:type="paragraph" w:styleId="NormalWeb">
    <w:name w:val="Normal (Web)"/>
    <w:basedOn w:val="Normal"/>
    <w:uiPriority w:val="99"/>
    <w:semiHidden/>
    <w:unhideWhenUsed/>
    <w:rsid w:val="001F0ABB"/>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0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331422">
      <w:bodyDiv w:val="1"/>
      <w:marLeft w:val="0"/>
      <w:marRight w:val="0"/>
      <w:marTop w:val="0"/>
      <w:marBottom w:val="0"/>
      <w:divBdr>
        <w:top w:val="none" w:sz="0" w:space="0" w:color="auto"/>
        <w:left w:val="none" w:sz="0" w:space="0" w:color="auto"/>
        <w:bottom w:val="none" w:sz="0" w:space="0" w:color="auto"/>
        <w:right w:val="none" w:sz="0" w:space="0" w:color="auto"/>
      </w:divBdr>
    </w:div>
    <w:div w:id="346101842">
      <w:bodyDiv w:val="1"/>
      <w:marLeft w:val="0"/>
      <w:marRight w:val="0"/>
      <w:marTop w:val="0"/>
      <w:marBottom w:val="0"/>
      <w:divBdr>
        <w:top w:val="none" w:sz="0" w:space="0" w:color="auto"/>
        <w:left w:val="none" w:sz="0" w:space="0" w:color="auto"/>
        <w:bottom w:val="none" w:sz="0" w:space="0" w:color="auto"/>
        <w:right w:val="none" w:sz="0" w:space="0" w:color="auto"/>
      </w:divBdr>
      <w:divsChild>
        <w:div w:id="1418288685">
          <w:marLeft w:val="0"/>
          <w:marRight w:val="0"/>
          <w:marTop w:val="0"/>
          <w:marBottom w:val="0"/>
          <w:divBdr>
            <w:top w:val="none" w:sz="0" w:space="0" w:color="auto"/>
            <w:left w:val="none" w:sz="0" w:space="0" w:color="auto"/>
            <w:bottom w:val="none" w:sz="0" w:space="0" w:color="auto"/>
            <w:right w:val="none" w:sz="0" w:space="0" w:color="auto"/>
          </w:divBdr>
          <w:divsChild>
            <w:div w:id="215895141">
              <w:marLeft w:val="0"/>
              <w:marRight w:val="0"/>
              <w:marTop w:val="0"/>
              <w:marBottom w:val="0"/>
              <w:divBdr>
                <w:top w:val="none" w:sz="0" w:space="0" w:color="auto"/>
                <w:left w:val="none" w:sz="0" w:space="0" w:color="auto"/>
                <w:bottom w:val="none" w:sz="0" w:space="0" w:color="auto"/>
                <w:right w:val="none" w:sz="0" w:space="0" w:color="auto"/>
              </w:divBdr>
              <w:divsChild>
                <w:div w:id="1480682494">
                  <w:marLeft w:val="0"/>
                  <w:marRight w:val="0"/>
                  <w:marTop w:val="0"/>
                  <w:marBottom w:val="0"/>
                  <w:divBdr>
                    <w:top w:val="none" w:sz="0" w:space="0" w:color="auto"/>
                    <w:left w:val="none" w:sz="0" w:space="0" w:color="auto"/>
                    <w:bottom w:val="none" w:sz="0" w:space="0" w:color="auto"/>
                    <w:right w:val="none" w:sz="0" w:space="0" w:color="auto"/>
                  </w:divBdr>
                  <w:divsChild>
                    <w:div w:id="14041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69033">
          <w:marLeft w:val="0"/>
          <w:marRight w:val="0"/>
          <w:marTop w:val="0"/>
          <w:marBottom w:val="0"/>
          <w:divBdr>
            <w:top w:val="none" w:sz="0" w:space="0" w:color="auto"/>
            <w:left w:val="none" w:sz="0" w:space="0" w:color="auto"/>
            <w:bottom w:val="none" w:sz="0" w:space="0" w:color="auto"/>
            <w:right w:val="none" w:sz="0" w:space="0" w:color="auto"/>
          </w:divBdr>
          <w:divsChild>
            <w:div w:id="1289047144">
              <w:marLeft w:val="0"/>
              <w:marRight w:val="0"/>
              <w:marTop w:val="0"/>
              <w:marBottom w:val="0"/>
              <w:divBdr>
                <w:top w:val="none" w:sz="0" w:space="0" w:color="auto"/>
                <w:left w:val="none" w:sz="0" w:space="0" w:color="auto"/>
                <w:bottom w:val="none" w:sz="0" w:space="0" w:color="auto"/>
                <w:right w:val="none" w:sz="0" w:space="0" w:color="auto"/>
              </w:divBdr>
              <w:divsChild>
                <w:div w:id="1792506180">
                  <w:marLeft w:val="0"/>
                  <w:marRight w:val="0"/>
                  <w:marTop w:val="0"/>
                  <w:marBottom w:val="0"/>
                  <w:divBdr>
                    <w:top w:val="none" w:sz="0" w:space="0" w:color="auto"/>
                    <w:left w:val="none" w:sz="0" w:space="0" w:color="auto"/>
                    <w:bottom w:val="none" w:sz="0" w:space="0" w:color="auto"/>
                    <w:right w:val="none" w:sz="0" w:space="0" w:color="auto"/>
                  </w:divBdr>
                  <w:divsChild>
                    <w:div w:id="21367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7958">
      <w:bodyDiv w:val="1"/>
      <w:marLeft w:val="0"/>
      <w:marRight w:val="0"/>
      <w:marTop w:val="0"/>
      <w:marBottom w:val="0"/>
      <w:divBdr>
        <w:top w:val="none" w:sz="0" w:space="0" w:color="auto"/>
        <w:left w:val="none" w:sz="0" w:space="0" w:color="auto"/>
        <w:bottom w:val="none" w:sz="0" w:space="0" w:color="auto"/>
        <w:right w:val="none" w:sz="0" w:space="0" w:color="auto"/>
      </w:divBdr>
      <w:divsChild>
        <w:div w:id="2003123028">
          <w:marLeft w:val="0"/>
          <w:marRight w:val="0"/>
          <w:marTop w:val="0"/>
          <w:marBottom w:val="0"/>
          <w:divBdr>
            <w:top w:val="none" w:sz="0" w:space="0" w:color="auto"/>
            <w:left w:val="none" w:sz="0" w:space="0" w:color="auto"/>
            <w:bottom w:val="none" w:sz="0" w:space="0" w:color="auto"/>
            <w:right w:val="none" w:sz="0" w:space="0" w:color="auto"/>
          </w:divBdr>
          <w:divsChild>
            <w:div w:id="1510757311">
              <w:marLeft w:val="0"/>
              <w:marRight w:val="0"/>
              <w:marTop w:val="0"/>
              <w:marBottom w:val="0"/>
              <w:divBdr>
                <w:top w:val="none" w:sz="0" w:space="0" w:color="auto"/>
                <w:left w:val="none" w:sz="0" w:space="0" w:color="auto"/>
                <w:bottom w:val="none" w:sz="0" w:space="0" w:color="auto"/>
                <w:right w:val="none" w:sz="0" w:space="0" w:color="auto"/>
              </w:divBdr>
              <w:divsChild>
                <w:div w:id="1849558876">
                  <w:marLeft w:val="0"/>
                  <w:marRight w:val="0"/>
                  <w:marTop w:val="0"/>
                  <w:marBottom w:val="0"/>
                  <w:divBdr>
                    <w:top w:val="none" w:sz="0" w:space="0" w:color="auto"/>
                    <w:left w:val="none" w:sz="0" w:space="0" w:color="auto"/>
                    <w:bottom w:val="none" w:sz="0" w:space="0" w:color="auto"/>
                    <w:right w:val="none" w:sz="0" w:space="0" w:color="auto"/>
                  </w:divBdr>
                  <w:divsChild>
                    <w:div w:id="539056507">
                      <w:marLeft w:val="0"/>
                      <w:marRight w:val="0"/>
                      <w:marTop w:val="0"/>
                      <w:marBottom w:val="0"/>
                      <w:divBdr>
                        <w:top w:val="none" w:sz="0" w:space="0" w:color="auto"/>
                        <w:left w:val="none" w:sz="0" w:space="0" w:color="auto"/>
                        <w:bottom w:val="none" w:sz="0" w:space="0" w:color="auto"/>
                        <w:right w:val="none" w:sz="0" w:space="0" w:color="auto"/>
                      </w:divBdr>
                      <w:divsChild>
                        <w:div w:id="851065264">
                          <w:marLeft w:val="0"/>
                          <w:marRight w:val="0"/>
                          <w:marTop w:val="0"/>
                          <w:marBottom w:val="0"/>
                          <w:divBdr>
                            <w:top w:val="none" w:sz="0" w:space="0" w:color="auto"/>
                            <w:left w:val="none" w:sz="0" w:space="0" w:color="auto"/>
                            <w:bottom w:val="none" w:sz="0" w:space="0" w:color="auto"/>
                            <w:right w:val="none" w:sz="0" w:space="0" w:color="auto"/>
                          </w:divBdr>
                          <w:divsChild>
                            <w:div w:id="7932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513578">
      <w:bodyDiv w:val="1"/>
      <w:marLeft w:val="0"/>
      <w:marRight w:val="0"/>
      <w:marTop w:val="0"/>
      <w:marBottom w:val="0"/>
      <w:divBdr>
        <w:top w:val="none" w:sz="0" w:space="0" w:color="auto"/>
        <w:left w:val="none" w:sz="0" w:space="0" w:color="auto"/>
        <w:bottom w:val="none" w:sz="0" w:space="0" w:color="auto"/>
        <w:right w:val="none" w:sz="0" w:space="0" w:color="auto"/>
      </w:divBdr>
    </w:div>
    <w:div w:id="1088044651">
      <w:bodyDiv w:val="1"/>
      <w:marLeft w:val="0"/>
      <w:marRight w:val="0"/>
      <w:marTop w:val="0"/>
      <w:marBottom w:val="0"/>
      <w:divBdr>
        <w:top w:val="none" w:sz="0" w:space="0" w:color="auto"/>
        <w:left w:val="none" w:sz="0" w:space="0" w:color="auto"/>
        <w:bottom w:val="none" w:sz="0" w:space="0" w:color="auto"/>
        <w:right w:val="none" w:sz="0" w:space="0" w:color="auto"/>
      </w:divBdr>
      <w:divsChild>
        <w:div w:id="1415282652">
          <w:marLeft w:val="0"/>
          <w:marRight w:val="0"/>
          <w:marTop w:val="0"/>
          <w:marBottom w:val="0"/>
          <w:divBdr>
            <w:top w:val="none" w:sz="0" w:space="0" w:color="auto"/>
            <w:left w:val="none" w:sz="0" w:space="0" w:color="auto"/>
            <w:bottom w:val="none" w:sz="0" w:space="0" w:color="auto"/>
            <w:right w:val="none" w:sz="0" w:space="0" w:color="auto"/>
          </w:divBdr>
          <w:divsChild>
            <w:div w:id="370037317">
              <w:marLeft w:val="0"/>
              <w:marRight w:val="0"/>
              <w:marTop w:val="0"/>
              <w:marBottom w:val="0"/>
              <w:divBdr>
                <w:top w:val="none" w:sz="0" w:space="0" w:color="auto"/>
                <w:left w:val="none" w:sz="0" w:space="0" w:color="auto"/>
                <w:bottom w:val="none" w:sz="0" w:space="0" w:color="auto"/>
                <w:right w:val="none" w:sz="0" w:space="0" w:color="auto"/>
              </w:divBdr>
              <w:divsChild>
                <w:div w:id="2024090110">
                  <w:marLeft w:val="0"/>
                  <w:marRight w:val="0"/>
                  <w:marTop w:val="0"/>
                  <w:marBottom w:val="0"/>
                  <w:divBdr>
                    <w:top w:val="none" w:sz="0" w:space="0" w:color="auto"/>
                    <w:left w:val="none" w:sz="0" w:space="0" w:color="auto"/>
                    <w:bottom w:val="none" w:sz="0" w:space="0" w:color="auto"/>
                    <w:right w:val="none" w:sz="0" w:space="0" w:color="auto"/>
                  </w:divBdr>
                  <w:divsChild>
                    <w:div w:id="2014796246">
                      <w:marLeft w:val="0"/>
                      <w:marRight w:val="0"/>
                      <w:marTop w:val="0"/>
                      <w:marBottom w:val="0"/>
                      <w:divBdr>
                        <w:top w:val="none" w:sz="0" w:space="0" w:color="auto"/>
                        <w:left w:val="none" w:sz="0" w:space="0" w:color="auto"/>
                        <w:bottom w:val="none" w:sz="0" w:space="0" w:color="auto"/>
                        <w:right w:val="none" w:sz="0" w:space="0" w:color="auto"/>
                      </w:divBdr>
                      <w:divsChild>
                        <w:div w:id="33895661">
                          <w:marLeft w:val="0"/>
                          <w:marRight w:val="0"/>
                          <w:marTop w:val="0"/>
                          <w:marBottom w:val="0"/>
                          <w:divBdr>
                            <w:top w:val="none" w:sz="0" w:space="0" w:color="auto"/>
                            <w:left w:val="none" w:sz="0" w:space="0" w:color="auto"/>
                            <w:bottom w:val="none" w:sz="0" w:space="0" w:color="auto"/>
                            <w:right w:val="none" w:sz="0" w:space="0" w:color="auto"/>
                          </w:divBdr>
                          <w:divsChild>
                            <w:div w:id="1599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073023">
      <w:bodyDiv w:val="1"/>
      <w:marLeft w:val="0"/>
      <w:marRight w:val="0"/>
      <w:marTop w:val="0"/>
      <w:marBottom w:val="0"/>
      <w:divBdr>
        <w:top w:val="none" w:sz="0" w:space="0" w:color="auto"/>
        <w:left w:val="none" w:sz="0" w:space="0" w:color="auto"/>
        <w:bottom w:val="none" w:sz="0" w:space="0" w:color="auto"/>
        <w:right w:val="none" w:sz="0" w:space="0" w:color="auto"/>
      </w:divBdr>
      <w:divsChild>
        <w:div w:id="1444499687">
          <w:marLeft w:val="0"/>
          <w:marRight w:val="0"/>
          <w:marTop w:val="0"/>
          <w:marBottom w:val="0"/>
          <w:divBdr>
            <w:top w:val="none" w:sz="0" w:space="0" w:color="auto"/>
            <w:left w:val="none" w:sz="0" w:space="0" w:color="auto"/>
            <w:bottom w:val="none" w:sz="0" w:space="0" w:color="auto"/>
            <w:right w:val="none" w:sz="0" w:space="0" w:color="auto"/>
          </w:divBdr>
          <w:divsChild>
            <w:div w:id="505677653">
              <w:marLeft w:val="0"/>
              <w:marRight w:val="0"/>
              <w:marTop w:val="0"/>
              <w:marBottom w:val="0"/>
              <w:divBdr>
                <w:top w:val="none" w:sz="0" w:space="0" w:color="auto"/>
                <w:left w:val="none" w:sz="0" w:space="0" w:color="auto"/>
                <w:bottom w:val="none" w:sz="0" w:space="0" w:color="auto"/>
                <w:right w:val="none" w:sz="0" w:space="0" w:color="auto"/>
              </w:divBdr>
              <w:divsChild>
                <w:div w:id="1281495245">
                  <w:marLeft w:val="0"/>
                  <w:marRight w:val="0"/>
                  <w:marTop w:val="0"/>
                  <w:marBottom w:val="0"/>
                  <w:divBdr>
                    <w:top w:val="none" w:sz="0" w:space="0" w:color="auto"/>
                    <w:left w:val="none" w:sz="0" w:space="0" w:color="auto"/>
                    <w:bottom w:val="none" w:sz="0" w:space="0" w:color="auto"/>
                    <w:right w:val="none" w:sz="0" w:space="0" w:color="auto"/>
                  </w:divBdr>
                  <w:divsChild>
                    <w:div w:id="15913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8987">
          <w:marLeft w:val="0"/>
          <w:marRight w:val="0"/>
          <w:marTop w:val="0"/>
          <w:marBottom w:val="0"/>
          <w:divBdr>
            <w:top w:val="none" w:sz="0" w:space="0" w:color="auto"/>
            <w:left w:val="none" w:sz="0" w:space="0" w:color="auto"/>
            <w:bottom w:val="none" w:sz="0" w:space="0" w:color="auto"/>
            <w:right w:val="none" w:sz="0" w:space="0" w:color="auto"/>
          </w:divBdr>
          <w:divsChild>
            <w:div w:id="310328505">
              <w:marLeft w:val="0"/>
              <w:marRight w:val="0"/>
              <w:marTop w:val="0"/>
              <w:marBottom w:val="0"/>
              <w:divBdr>
                <w:top w:val="none" w:sz="0" w:space="0" w:color="auto"/>
                <w:left w:val="none" w:sz="0" w:space="0" w:color="auto"/>
                <w:bottom w:val="none" w:sz="0" w:space="0" w:color="auto"/>
                <w:right w:val="none" w:sz="0" w:space="0" w:color="auto"/>
              </w:divBdr>
              <w:divsChild>
                <w:div w:id="753088356">
                  <w:marLeft w:val="0"/>
                  <w:marRight w:val="0"/>
                  <w:marTop w:val="0"/>
                  <w:marBottom w:val="0"/>
                  <w:divBdr>
                    <w:top w:val="none" w:sz="0" w:space="0" w:color="auto"/>
                    <w:left w:val="none" w:sz="0" w:space="0" w:color="auto"/>
                    <w:bottom w:val="none" w:sz="0" w:space="0" w:color="auto"/>
                    <w:right w:val="none" w:sz="0" w:space="0" w:color="auto"/>
                  </w:divBdr>
                  <w:divsChild>
                    <w:div w:id="11137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86315">
      <w:bodyDiv w:val="1"/>
      <w:marLeft w:val="0"/>
      <w:marRight w:val="0"/>
      <w:marTop w:val="0"/>
      <w:marBottom w:val="0"/>
      <w:divBdr>
        <w:top w:val="none" w:sz="0" w:space="0" w:color="auto"/>
        <w:left w:val="none" w:sz="0" w:space="0" w:color="auto"/>
        <w:bottom w:val="none" w:sz="0" w:space="0" w:color="auto"/>
        <w:right w:val="none" w:sz="0" w:space="0" w:color="auto"/>
      </w:divBdr>
    </w:div>
    <w:div w:id="1691056516">
      <w:bodyDiv w:val="1"/>
      <w:marLeft w:val="0"/>
      <w:marRight w:val="0"/>
      <w:marTop w:val="0"/>
      <w:marBottom w:val="0"/>
      <w:divBdr>
        <w:top w:val="none" w:sz="0" w:space="0" w:color="auto"/>
        <w:left w:val="none" w:sz="0" w:space="0" w:color="auto"/>
        <w:bottom w:val="none" w:sz="0" w:space="0" w:color="auto"/>
        <w:right w:val="none" w:sz="0" w:space="0" w:color="auto"/>
      </w:divBdr>
    </w:div>
    <w:div w:id="20968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614342-5C50-488F-A704-573D98E6C4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DF9AE3-10C9-447E-AD94-E0837AB032C4}">
  <ds:schemaRefs>
    <ds:schemaRef ds:uri="http://schemas.microsoft.com/sharepoint/v3/contenttype/forms"/>
  </ds:schemaRefs>
</ds:datastoreItem>
</file>

<file path=customXml/itemProps3.xml><?xml version="1.0" encoding="utf-8"?>
<ds:datastoreItem xmlns:ds="http://schemas.openxmlformats.org/officeDocument/2006/customXml" ds:itemID="{71681B99-2037-40AC-9CE2-76DC9A77C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13</cp:revision>
  <dcterms:created xsi:type="dcterms:W3CDTF">2024-08-17T10:56:00Z</dcterms:created>
  <dcterms:modified xsi:type="dcterms:W3CDTF">2024-08-21T16:40:00Z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