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28 September 2026</w:t>
      </w:r>
    </w:p>
    <w:p>
      <w:pPr>
        <w:pStyle w:val="BodyText"/>
      </w:pPr>
      <w:r>
        <w:t xml:space="preserve">The Editors</w:t>
      </w:r>
      <w:r>
        <w:t xml:space="preserve"> </w:t>
      </w:r>
      <w:r>
        <w:rPr>
          <w:i/>
          <w:iCs/>
        </w:rPr>
        <w:t xml:space="preserve">Energy and Buildings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i/>
          <w:iCs/>
        </w:rPr>
        <w:t xml:space="preserve">Residential electricity load shape under changing occupancy:</w:t>
      </w:r>
      <w:r>
        <w:rPr>
          <w:i/>
          <w:iCs/>
        </w:rPr>
        <w:t xml:space="preserve"> </w:t>
      </w:r>
      <w:r>
        <w:rPr>
          <w:i/>
          <w:iCs/>
        </w:rPr>
        <w:t xml:space="preserve">household-level schedules and stock-scale building energy simulation for Canada, 2005–2030</w:t>
      </w:r>
      <w:r>
        <w:t xml:space="preserve">, for</w:t>
      </w:r>
      <w:r>
        <w:t xml:space="preserve"> </w:t>
      </w:r>
      <w:r>
        <w:t xml:space="preserve">consideration as an Original Paper in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.</w:t>
      </w:r>
    </w:p>
    <w:p>
      <w:pPr>
        <w:pStyle w:val="BodyText"/>
      </w:pPr>
      <w:r>
        <w:t xml:space="preserve">Building energy models of the housing stock still run on fixed occupancy schedules. Yet the COVID-19</w:t>
      </w:r>
      <w:r>
        <w:t xml:space="preserve"> </w:t>
      </w:r>
      <w:r>
        <w:t xml:space="preserve">pandemic changed when people are at home more than how much energy homes use. We build a</w:t>
      </w:r>
      <w:r>
        <w:t xml:space="preserve"> </w:t>
      </w:r>
      <w:r>
        <w:t xml:space="preserve">household-level occupancy model from four cycles of the Statistics Canada time-use survey (2005 to</w:t>
      </w:r>
      <w:r>
        <w:t xml:space="preserve"> </w:t>
      </w:r>
      <w:r>
        <w:t xml:space="preserve">2022) and check it on a held-out survey year. We link it to a 2021 census household frame and carry it</w:t>
      </w:r>
      <w:r>
        <w:t xml:space="preserve"> </w:t>
      </w:r>
      <w:r>
        <w:t xml:space="preserve">into paired building energy simulations across four dwelling archetypes and six Canadian cities</w:t>
      </w:r>
      <w:r>
        <w:t xml:space="preserve"> </w:t>
      </w:r>
      <w:r>
        <w:t xml:space="preserve">(5,997 simulation runs). We then compare 2022 with four stated 2030 scenarios for how much of the</w:t>
      </w:r>
      <w:r>
        <w:t xml:space="preserve"> </w:t>
      </w:r>
      <w:r>
        <w:t xml:space="preserve">pandemic shift persists.</w:t>
      </w:r>
    </w:p>
    <w:p>
      <w:pPr>
        <w:pStyle w:val="BodyText"/>
      </w:pPr>
      <w:r>
        <w:t xml:space="preserve">In 2022, the weekday at-home rate sits 4.73 percentage points above its 2005-to-2015 trend. Under the</w:t>
      </w:r>
      <w:r>
        <w:t xml:space="preserve"> </w:t>
      </w:r>
      <w:r>
        <w:t xml:space="preserve">main 2030 scenario, annual electricity is nearly flat, rising 0.12 percent, while the midday share</w:t>
      </w:r>
      <w:r>
        <w:t xml:space="preserve"> </w:t>
      </w:r>
      <w:r>
        <w:t xml:space="preserve">rises 0.73 and the load factor 0.49 percentage points. A simpler average-profile method, run on the</w:t>
      </w:r>
      <w:r>
        <w:t xml:space="preserve"> </w:t>
      </w:r>
      <w:r>
        <w:t xml:space="preserve">same households, collapses the household-to-household spread in peak timing almost to zero; only the</w:t>
      </w:r>
      <w:r>
        <w:t xml:space="preserve"> </w:t>
      </w:r>
      <w:r>
        <w:t xml:space="preserve">household-level model keeps it. The simulated load shape is also checked against a year of measured</w:t>
      </w:r>
      <w:r>
        <w:t xml:space="preserve"> </w:t>
      </w:r>
      <w:r>
        <w:t xml:space="preserve">Toronto and Ontario electricity data. For grid planning, the shift is mainly a question of timing,</w:t>
      </w:r>
      <w:r>
        <w:t xml:space="preserve"> </w:t>
      </w:r>
      <w:r>
        <w:t xml:space="preserve">not of sizing.</w:t>
      </w:r>
    </w:p>
    <w:p>
      <w:pPr>
        <w:pStyle w:val="BodyText"/>
      </w:pPr>
      <w:r>
        <w:t xml:space="preserve">We submit to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 </w:t>
      </w:r>
      <w:r>
        <w:t xml:space="preserve">because the paper addresses energy demand in existing and future</w:t>
      </w:r>
      <w:r>
        <w:t xml:space="preserve"> </w:t>
      </w:r>
      <w:r>
        <w:t xml:space="preserve">residential buildings, one of the journal’s core topics, and because the simulation results are</w:t>
      </w:r>
      <w:r>
        <w:t xml:space="preserve"> </w:t>
      </w:r>
      <w:r>
        <w:t xml:space="preserve">benchmarked against recognized data: a held-out national survey year and measured utility-scale</w:t>
      </w:r>
      <w:r>
        <w:t xml:space="preserve"> </w:t>
      </w:r>
      <w:r>
        <w:t xml:space="preserve">electricity data. The paper turns survey-based behaviour into stock-scale load-shape metrics (load</w:t>
      </w:r>
      <w:r>
        <w:t xml:space="preserve"> </w:t>
      </w:r>
      <w:r>
        <w:t xml:space="preserve">factor, midday share, peak timing and evening ramp) that building modellers and demand-response</w:t>
      </w:r>
      <w:r>
        <w:t xml:space="preserve"> </w:t>
      </w:r>
      <w:r>
        <w:t xml:space="preserve">planners can use directly. Several of the household occupancy and load-profile models this study</w:t>
      </w:r>
      <w:r>
        <w:t xml:space="preserve"> </w:t>
      </w:r>
      <w:r>
        <w:t xml:space="preserve">builds on were published in</w:t>
      </w:r>
      <w:r>
        <w:t xml:space="preserve"> </w:t>
      </w:r>
      <w:r>
        <w:rPr>
          <w:i/>
          <w:iCs/>
        </w:rPr>
        <w:t xml:space="preserve">Energy and Buildings</w:t>
      </w:r>
      <w:r>
        <w:t xml:space="preserve">. The method needs only a repeated national time-use survey, a</w:t>
      </w:r>
      <w:r>
        <w:t xml:space="preserve"> </w:t>
      </w:r>
      <w:r>
        <w:t xml:space="preserve">census-type household frame and a national end-use benchmark, so it carries over to the United States</w:t>
      </w:r>
      <w:r>
        <w:t xml:space="preserve"> </w:t>
      </w:r>
      <w:r>
        <w:t xml:space="preserve">and Europe.</w:t>
      </w:r>
    </w:p>
    <w:p>
      <w:pPr>
        <w:pStyle w:val="BodyText"/>
      </w:pPr>
      <w:r>
        <w:rPr>
          <w:b/>
          <w:bCs/>
        </w:rPr>
        <w:t xml:space="preserve">Relationship to our earlier work.</w:t>
      </w:r>
      <w:r>
        <w:t xml:space="preserve"> </w:t>
      </w:r>
      <w:r>
        <w:t xml:space="preserve">This is the second study in one research line. A companion</w:t>
      </w:r>
      <w:r>
        <w:t xml:space="preserve"> </w:t>
      </w:r>
      <w:r>
        <w:t xml:space="preserve">manuscript, currently under review at the</w:t>
      </w:r>
      <w:r>
        <w:t xml:space="preserve"> </w:t>
      </w:r>
      <w:r>
        <w:rPr>
          <w:i/>
          <w:iCs/>
        </w:rPr>
        <w:t xml:space="preserve">Journal of Building Performance Simulation</w:t>
      </w:r>
      <w:r>
        <w:t xml:space="preserve">, asked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much</w:t>
      </w:r>
      <w:r>
        <w:t xml:space="preserve">: it compared period-specific occupancy datasets against one default schedule in one climate</w:t>
      </w:r>
      <w:r>
        <w:t xml:space="preserve"> </w:t>
      </w:r>
      <w:r>
        <w:t xml:space="preserve">zone and reported annual corrections. A companion conference study (Iseri and Hachem-Vermette 2026)</w:t>
      </w:r>
      <w:r>
        <w:t xml:space="preserve"> </w:t>
      </w:r>
      <w:r>
        <w:t xml:space="preserve">covered three climate-zone cities. The present paper asks</w:t>
      </w:r>
      <w:r>
        <w:t xml:space="preserve"> </w:t>
      </w:r>
      <w:r>
        <w:rPr>
          <w:i/>
          <w:iCs/>
        </w:rPr>
        <w:t xml:space="preserve">when</w:t>
      </w:r>
      <w:r>
        <w:t xml:space="preserve">. It compares survey cycles against</w:t>
      </w:r>
      <w:r>
        <w:t xml:space="preserve"> </w:t>
      </w:r>
      <w:r>
        <w:t xml:space="preserve">each other within the same households, carries occupancy through the pandemic break to 2030, covers</w:t>
      </w:r>
      <w:r>
        <w:t xml:space="preserve"> </w:t>
      </w:r>
      <w:r>
        <w:t xml:space="preserve">four national archetypes across six cities, and reports the daily load shape rather than annual</w:t>
      </w:r>
      <w:r>
        <w:t xml:space="preserve"> </w:t>
      </w:r>
      <w:r>
        <w:t xml:space="preserve">totals. Both earlier studies are cited and compared in the manuscript (Section 1.2 and Appendix A).</w:t>
      </w:r>
    </w:p>
    <w:p>
      <w:pPr>
        <w:pStyle w:val="BodyText"/>
      </w:pPr>
      <w:r>
        <w:t xml:space="preserve">The manuscript is original, has not been published previously, and is not under consideration</w:t>
      </w:r>
      <w:r>
        <w:t xml:space="preserve"> </w:t>
      </w:r>
      <w:r>
        <w:t xml:space="preserve">elsewhere. All authors have approved its submission. We have no competing interests to declare. The</w:t>
      </w:r>
      <w:r>
        <w:t xml:space="preserve"> </w:t>
      </w:r>
      <w:r>
        <w:t xml:space="preserve">use of generative AI tools is declared at the end of the manuscript.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Iseri, on behalf of both authors</w:t>
      </w:r>
    </w:p>
    <w:bookmarkEnd w:id="40"/>
    <w:sectPr>
      <w:footerReference r:id="rId3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 w:line="240" w:lineRule="auto"/>
      <w:jc w:val="center"/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t>1</w:t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b/>
      <w:bCs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color w:val="000000"/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color w:val="000000"/>
      <w:rFonts w:cstheme="majorBidi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color w:val="000000"/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color w:val="000000"/>
      <w:rFonts w:asciiTheme="majorHAnsi" w:cstheme="majorBidi" w:eastAsiaTheme="majorEastAsia" w:hAnsiTheme="majorHAnsi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color w:val="000000"/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color w:val="000000"/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color w:val="000000"/>
      <w:rFonts w:cstheme="majorBidi" w:eastAsiaTheme="majorEastAsia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line="240" w:lineRule="auto"/>
      <w:jc w:val="center"/>
      <w:spacing w:after="120" w:before="0"/>
    </w:pPr>
    <w:rPr>
      <w:sz w:val="20"/>
      <w:szCs w:val="20"/>
      <w:i/>
    </w:rPr>
  </w:style>
  <w:style w:customStyle="1" w:styleId="TableCaption" w:type="paragraph">
    <w:name w:val="Table Caption"/>
    <w:basedOn w:val="Caption"/>
    <w:pPr>
      <w:spacing w:after="0" w:line="240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3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2026-09-28T19:41:01Z</dcterms:created>
  <dcterms:modified xsi:type="dcterms:W3CDTF">2026-09-28T19:41:01Z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