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Survey-based household occupancy model runs from 2005 to 2030 across Canadian homes.</w:t>
      </w:r>
    </w:p>
    <w:p>
      <w:pPr>
        <w:pStyle w:val="Compact"/>
        <w:numPr>
          <w:ilvl w:val="0"/>
          <w:numId w:val="1001"/>
        </w:numPr>
      </w:pPr>
      <w:r>
        <w:t xml:space="preserve">For grid planning, work from home is mainly a timing question, not a sizing one.</w:t>
      </w:r>
    </w:p>
    <w:p>
      <w:pPr>
        <w:pStyle w:val="Compact"/>
        <w:numPr>
          <w:ilvl w:val="0"/>
          <w:numId w:val="1001"/>
        </w:numPr>
      </w:pPr>
      <w:r>
        <w:t xml:space="preserve">Annual electricity rises only 0.12 percent, but midday share and load factor rise.</w:t>
      </w:r>
    </w:p>
    <w:p>
      <w:pPr>
        <w:pStyle w:val="Compact"/>
        <w:numPr>
          <w:ilvl w:val="0"/>
          <w:numId w:val="1001"/>
        </w:numPr>
      </w:pPr>
      <w:r>
        <w:t xml:space="preserve">Three 2030 scenarios and a reversion check test how much of the pandemic shift lasts.</w:t>
      </w:r>
    </w:p>
    <w:p>
      <w:pPr>
        <w:pStyle w:val="Compact"/>
        <w:numPr>
          <w:ilvl w:val="0"/>
          <w:numId w:val="1001"/>
        </w:numPr>
      </w:pPr>
      <w:r>
        <w:t xml:space="preserve">Our household model keeps the peak-timing spread that average schedules erase.</w:t>
      </w:r>
    </w:p>
    <w:bookmarkEnd w:id="40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2026-09-28T19:40:12Z</dcterms:created>
  <dcterms:modified xsi:type="dcterms:W3CDTF">2026-09-28T19:40:12Z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