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t xml:space="preserve">This Supplementary Information accompanies the main manuscript. Sections S1 to S11 cover the</w:t>
      </w:r>
      <w:r>
        <w:t xml:space="preserve"> </w:t>
      </w:r>
      <w:r>
        <w:t xml:space="preserve">generative occupancy model and how it was selected. They also cover diary validation, the cost of</w:t>
      </w:r>
      <w:r>
        <w:t xml:space="preserve"> </w:t>
      </w:r>
      <w:r>
        <w:t xml:space="preserve">post-hoc calibration, schedule completion and the donor draw. The remaining sections cover household</w:t>
      </w:r>
      <w:r>
        <w:t xml:space="preserve"> </w:t>
      </w:r>
      <w:r>
        <w:t xml:space="preserve">sampling for the building simulation, annual schedule assembly, clustering-aware confidence intervals</w:t>
      </w:r>
      <w:r>
        <w:t xml:space="preserve"> </w:t>
      </w:r>
      <w:r>
        <w:t xml:space="preserve">and the supplementary figures.</w:t>
      </w:r>
    </w:p>
    <w:bookmarkStart w:id="40" w:name="s1-generative-model-architecture"/>
    <w:p>
      <w:pPr>
        <w:pStyle w:val="Heading2"/>
      </w:pPr>
      <w:r>
        <w:t xml:space="preserve">S1 Generative model architecture</w:t>
      </w:r>
    </w:p>
    <w:p>
      <w:pPr>
        <w:pStyle w:val="FirstParagraph"/>
      </w:pPr>
      <w:r>
        <w:t xml:space="preserve">The day-type completion step needs a model that takes one observed diary per respondent. From it,</w:t>
      </w:r>
      <w:r>
        <w:t xml:space="preserve"> </w:t>
      </w:r>
      <w:r>
        <w:t xml:space="preserve">the model must produce the two missing day-types for that respondent. These are the other days of</w:t>
      </w:r>
      <w:r>
        <w:t xml:space="preserve"> </w:t>
      </w:r>
      <w:r>
        <w:t xml:space="preserve">the week that the respondent did not report. The model must also produce simple presence signals for</w:t>
      </w:r>
      <w:r>
        <w:t xml:space="preserve"> </w:t>
      </w:r>
      <w:r>
        <w:t xml:space="preserve">the household. The chosen model has three parts built on a shared encoder:</w:t>
      </w:r>
    </w:p>
    <w:p>
      <w:pPr>
        <w:pStyle w:val="Compact"/>
        <w:numPr>
          <w:ilvl w:val="0"/>
          <w:numId w:val="1001"/>
        </w:numPr>
      </w:pPr>
      <w:r>
        <w:t xml:space="preserve">A 6-layer Transformer encoder reads the respondent’s demographic and survey information. After</w:t>
      </w:r>
      <w:r>
        <w:t xml:space="preserve"> </w:t>
      </w:r>
      <w:r>
        <w:t xml:space="preserve">encoding there are 90 input variables. They include age group, sex, marital status, household</w:t>
      </w:r>
      <w:r>
        <w:t xml:space="preserve"> </w:t>
      </w:r>
      <w:r>
        <w:t xml:space="preserve">size, province and labour-force variables. They also include survey cycle-year, survey collection</w:t>
      </w:r>
      <w:r>
        <w:t xml:space="preserve"> </w:t>
      </w:r>
      <w:r>
        <w:t xml:space="preserve">mode, school attendance, work-from-home status and commute mode.</w:t>
      </w:r>
    </w:p>
    <w:p>
      <w:pPr>
        <w:pStyle w:val="Compact"/>
        <w:numPr>
          <w:ilvl w:val="0"/>
          <w:numId w:val="1001"/>
        </w:numPr>
      </w:pPr>
      <w:r>
        <w:t xml:space="preserve">A 6-layer decoder generates the activity sequence one half-hour slot at a time, for all 48 slots</w:t>
      </w:r>
      <w:r>
        <w:t xml:space="preserve"> </w:t>
      </w:r>
      <w:r>
        <w:t xml:space="preserve">of the day. At each slot it gives which of 14 activity types the person is doing.</w:t>
      </w:r>
    </w:p>
    <w:p>
      <w:pPr>
        <w:pStyle w:val="Compact"/>
        <w:numPr>
          <w:ilvl w:val="0"/>
          <w:numId w:val="1001"/>
        </w:numPr>
      </w:pPr>
      <w:r>
        <w:t xml:space="preserve">A separate, parallel set of small output heads covers the same 48 slots. These heads predict</w:t>
      </w:r>
      <w:r>
        <w:t xml:space="preserve"> </w:t>
      </w:r>
      <w:r>
        <w:t xml:space="preserve">whether the person is at home and who else is present. There are 9 co-presence channels, such as</w:t>
      </w:r>
      <w:r>
        <w:t xml:space="preserve"> </w:t>
      </w:r>
      <w:r>
        <w:t xml:space="preserve">spouse and children. A gradient-detach barrier cuts these heads off from the activity decoder’s</w:t>
      </w:r>
      <w:r>
        <w:t xml:space="preserve"> </w:t>
      </w:r>
      <w:r>
        <w:t xml:space="preserve">training signal. Training the activity sequence therefore does not disturb the at-home and</w:t>
      </w:r>
      <w:r>
        <w:t xml:space="preserve"> </w:t>
      </w:r>
      <w:r>
        <w:t xml:space="preserve">co-presence predictions, and vice versa.</w:t>
      </w:r>
    </w:p>
    <w:p>
      <w:pPr>
        <w:pStyle w:val="FirstParagraph"/>
      </w:pPr>
      <w:r>
        <w:t xml:space="preserve">The model has about 29.25 million parameters and an internal width of 384. It separates</w:t>
      </w:r>
      <w:r>
        <w:t xml:space="preserve"> </w:t>
      </w:r>
      <w:r>
        <w:t xml:space="preserve">“what the</w:t>
      </w:r>
      <w:r>
        <w:t xml:space="preserve"> </w:t>
      </w:r>
      <w:r>
        <w:t xml:space="preserve">person is doing”</w:t>
      </w:r>
      <w:r>
        <w:t xml:space="preserve"> </w:t>
      </w:r>
      <w:r>
        <w:t xml:space="preserve">from</w:t>
      </w:r>
      <w:r>
        <w:t xml:space="preserve"> </w:t>
      </w:r>
      <w:r>
        <w:t xml:space="preserve">“whether they are home and with whom”</w:t>
      </w:r>
      <w:r>
        <w:t xml:space="preserve">. This separation distinguishes it from</w:t>
      </w:r>
      <w:r>
        <w:t xml:space="preserve"> </w:t>
      </w:r>
      <w:r>
        <w:t xml:space="preserve">the competing designs. Those designs mixed the two signals and did not clear the selection checks</w:t>
      </w:r>
      <w:r>
        <w:t xml:space="preserve"> </w:t>
      </w:r>
      <w:r>
        <w:t xml:space="preserve">(Section S2). Table S1 summarizes the architecture as a model card. It describes the final model:</w:t>
      </w:r>
      <w:r>
        <w:t xml:space="preserve"> </w:t>
      </w:r>
      <w:r>
        <w:t xml:space="preserve">the chosen generator plus the post-hoc marginal raking calibration step described below. More than</w:t>
      </w:r>
      <w:r>
        <w:t xml:space="preserve"> </w:t>
      </w:r>
      <w:r>
        <w:t xml:space="preserve">40 candidates were tried, and four of them cleared all four selection checks. The chosen model had</w:t>
      </w:r>
      <w:r>
        <w:t xml:space="preserve"> </w:t>
      </w:r>
      <w:r>
        <w:t xml:space="preserve">the lowest composite score among these four (Section S2).</w:t>
      </w:r>
    </w:p>
    <w:p>
      <w:pPr>
        <w:pStyle w:val="BodyText"/>
        <w:keepNext/>
        <w:jc w:val="center"/>
      </w:pPr>
      <w:r>
        <w:rPr>
          <w:b/>
          <w:bCs/>
        </w:rPr>
        <w:t xml:space="preserve">Table S1.</w:t>
      </w:r>
      <w:r>
        <w:t xml:space="preserve"> </w:t>
      </w:r>
      <w:r>
        <w:t xml:space="preserve">Calibrated generator model card.</w:t>
      </w:r>
    </w:p>
    <w:p>
      <w:pPr>
        <w:pStyle w:val="BodyText"/>
      </w:pPr>
      <w:r>
        <w:rPr>
          <w:i/>
          <w:iCs/>
        </w:rPr>
        <w:t xml:space="preserve">Architecture.</w:t>
      </w:r>
    </w:p>
    <w:tbl>
      <w:tblPr>
        <w:tblStyle w:val="Table"/>
        <w:tblW w:type="pct" w:w="5000"/>
        <w:tblLayout w:type="fixed"/>
        <w:tblCellMar>
          <w:left w:w="72" w:type="dxa"/>
          <w:right w:w="72" w:type="dxa"/>
        </w:tblCellMar>
        <w:tblLook w:firstRow="1" w:lastRow="0" w:firstColumn="0" w:lastColumn="0" w:noHBand="0" w:noVBand="0" w:val="0020"/>
      </w:tblPr>
      <w:tblGrid>
        <w:gridCol w:w="2158"/>
        <w:gridCol w:w="7202"/>
      </w:tblGrid>
      <w:tr>
        <w:trPr>
          <w:tblHeader w:val="on"/>
        </w:trP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Component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Encoder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Shared 6-layer Transformer encoder</w:t>
            </w:r>
          </w:p>
        </w:tc>
      </w:tr>
      <w:t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Activity decoder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6-layer autoregressive decoder, 14-category activity sequence, 48 half-hour slots</w:t>
            </w:r>
          </w:p>
        </w:tc>
      </w:tr>
      <w:t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Binary heads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Parallel non-autoregressive binary heads: at-home flag plus 9 co-presence channels (colleagues masked for 2005/2010); a gradient-detach barrier separates these heads from the activity decoder</w:t>
            </w:r>
          </w:p>
        </w:tc>
      </w:tr>
      <w:t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Model width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384</w:t>
            </w:r>
          </w:p>
        </w:tc>
      </w:tr>
      <w:t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Attention heads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Feed-forward width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1,536</w:t>
            </w:r>
          </w:p>
        </w:tc>
      </w:tr>
      <w:t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Dropout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w="215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Parameter count</w:t>
            </w:r>
          </w:p>
        </w:tc>
        <w:tc>
          <w:tcPr>
            <w:tcW w:w="7202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About 29.25 million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Conditioning variables (90 inputs after encoding).</w:t>
      </w:r>
    </w:p>
    <w:tbl>
      <w:tblPr>
        <w:tblStyle w:val="Table"/>
        <w:tblW w:type="pct" w:w="5000"/>
        <w:tblLayout w:type="fixed"/>
        <w:tblCellMar>
          <w:left w:w="72" w:type="dxa"/>
          <w:right w:w="72" w:type="dxa"/>
        </w:tblCellMar>
        <w:tblLook w:firstRow="1" w:lastRow="0" w:firstColumn="0" w:lastColumn="0" w:noHBand="0" w:noVBand="0" w:val="0020"/>
      </w:tblPr>
      <w:tblGrid>
        <w:gridCol w:w="1703"/>
        <w:gridCol w:w="5848"/>
        <w:gridCol w:w="1809"/>
      </w:tblGrid>
      <w:tr>
        <w:trPr>
          <w:tblHeader w:val="on"/>
        </w:trPr>
        <w:tc>
          <w:tcPr>
            <w:tcW w:w="17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Variable group</w:t>
            </w:r>
          </w:p>
        </w:tc>
        <w:tc>
          <w:tcPr>
            <w:tcW w:w="58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Variables</w:t>
            </w:r>
          </w:p>
        </w:tc>
        <w:tc>
          <w:tcPr>
            <w:tcW w:w="180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w="17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Demographics</w:t>
            </w:r>
          </w:p>
        </w:tc>
        <w:tc>
          <w:tcPr>
            <w:tcW w:w="58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age group, sex, marital status, household size, province, census metropolitan area, official-language knowledge, labour-force activity, hours worked, occupation, class of worker, day-type stratum (weekday, Saturday, Sunday)</w:t>
            </w:r>
          </w:p>
        </w:tc>
        <w:tc>
          <w:tcPr>
            <w:tcW w:w="180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12 categorical variables, one-hot encoded</w:t>
            </w:r>
          </w:p>
        </w:tc>
      </w:tr>
      <w:tr>
        <w:tc>
          <w:tcPr>
            <w:tcW w:w="17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Additional demographics</w:t>
            </w:r>
          </w:p>
        </w:tc>
        <w:tc>
          <w:tcPr>
            <w:tcW w:w="58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school attendance, work-from-home status, commute mode</w:t>
            </w:r>
          </w:p>
        </w:tc>
        <w:tc>
          <w:tcPr>
            <w:tcW w:w="180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3 categorical variables, one-hot encoded</w:t>
            </w:r>
          </w:p>
        </w:tc>
      </w:tr>
      <w:tr>
        <w:tc>
          <w:tcPr>
            <w:tcW w:w="17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Continuous</w:t>
            </w:r>
          </w:p>
        </w:tc>
        <w:tc>
          <w:tcPr>
            <w:tcW w:w="58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Household income, standardized</w:t>
            </w:r>
          </w:p>
        </w:tc>
        <w:tc>
          <w:tcPr>
            <w:tcW w:w="180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 continuous variable</w:t>
            </w:r>
          </w:p>
        </w:tc>
      </w:tr>
      <w:tr>
        <w:tc>
          <w:tcPr>
            <w:tcW w:w="17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Binary flags</w:t>
            </w:r>
          </w:p>
        </w:tc>
        <w:tc>
          <w:tcPr>
            <w:tcW w:w="58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Survey collection mode (whether the diary was collected by telephone interview or filled in online), income-source flag</w:t>
            </w:r>
          </w:p>
        </w:tc>
        <w:tc>
          <w:tcPr>
            <w:tcW w:w="180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 binary flags</w:t>
            </w:r>
          </w:p>
        </w:tc>
      </w:tr>
      <w:tr>
        <w:tc>
          <w:tcPr>
            <w:tcW w:w="17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Learned embedding (injected separately, not part of the 90-input vector)</w:t>
            </w:r>
          </w:p>
        </w:tc>
        <w:tc>
          <w:tcPr>
            <w:tcW w:w="58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Survey cycle-year</w:t>
            </w:r>
          </w:p>
        </w:tc>
        <w:tc>
          <w:tcPr>
            <w:tcW w:w="180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learned, 16-dimension</w:t>
            </w:r>
          </w:p>
        </w:tc>
      </w:tr>
    </w:tbl>
    <w:p>
      <w:pPr>
        <w:pStyle w:val="BodyText"/>
      </w:pPr>
      <w:r>
        <w:t xml:space="preserve">Note: the collection-mode flag records the survey’s shift from telephone interviews to online</w:t>
      </w:r>
      <w:r>
        <w:t xml:space="preserve"> </w:t>
      </w:r>
      <w:r>
        <w:t xml:space="preserve">self-completion. The work-from-home flag records the pandemic-era change directly.</w:t>
      </w:r>
    </w:p>
    <w:p>
      <w:pPr>
        <w:pStyle w:val="BodyText"/>
      </w:pPr>
      <w:r>
        <w:rPr>
          <w:i/>
          <w:iCs/>
        </w:rPr>
        <w:t xml:space="preserve">Training.</w:t>
      </w:r>
    </w:p>
    <w:tbl>
      <w:tblPr>
        <w:tblStyle w:val="Table"/>
        <w:tblW w:type="pct" w:w="5000"/>
        <w:tblLayout w:type="fixed"/>
        <w:tblCellMar>
          <w:left w:w="72" w:type="dxa"/>
          <w:right w:w="72" w:type="dxa"/>
        </w:tblCellMar>
        <w:tblLook w:firstRow="1" w:lastRow="0" w:firstColumn="0" w:lastColumn="0" w:noHBand="0" w:noVBand="0" w:val="0020"/>
      </w:tblPr>
      <w:tblGrid>
        <w:gridCol w:w="3426"/>
        <w:gridCol w:w="5934"/>
      </w:tblGrid>
      <w:tr>
        <w:trPr>
          <w:tblHeader w:val="on"/>
        </w:trPr>
        <w:tc>
          <w:tcPr>
            <w:tcW w:w="342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Item</w:t>
            </w:r>
          </w:p>
        </w:tc>
        <w:tc>
          <w:tcPr>
            <w:tcW w:w="593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w="342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Data split (stratified by cycle and day type)</w:t>
            </w:r>
          </w:p>
        </w:tc>
        <w:tc>
          <w:tcPr>
            <w:tcW w:w="593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70/15/15, giving 44,843 / 9,609 / 9,609 records</w:t>
            </w:r>
          </w:p>
        </w:tc>
      </w:tr>
      <w:tr>
        <w:tc>
          <w:tcPr>
            <w:tcW w:w="342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Nearest-neighbour supervision</w:t>
            </w:r>
          </w:p>
        </w:tc>
        <w:tc>
          <w:tcPr>
            <w:tcW w:w="593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5 demographic neighbours; neighbour-disagreement floor 0.1888</w:t>
            </w:r>
          </w:p>
        </w:tc>
      </w:tr>
      <w:tr>
        <w:tc>
          <w:tcPr>
            <w:tcW w:w="342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Learning rate</w:t>
            </w:r>
          </w:p>
        </w:tc>
        <w:tc>
          <w:tcPr>
            <w:tcW w:w="593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1e-4, 2,000-step warm-up then cosine decay</w:t>
            </w:r>
          </w:p>
        </w:tc>
      </w:tr>
      <w:tr>
        <w:tc>
          <w:tcPr>
            <w:tcW w:w="342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Batch size</w:t>
            </w:r>
          </w:p>
        </w:tc>
        <w:tc>
          <w:tcPr>
            <w:tcW w:w="593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w="342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Early stopping</w:t>
            </w:r>
          </w:p>
        </w:tc>
        <w:tc>
          <w:tcPr>
            <w:tcW w:w="593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10 epochs’ patience</w:t>
            </w:r>
          </w:p>
        </w:tc>
      </w:tr>
      <w:tr>
        <w:tc>
          <w:tcPr>
            <w:tcW w:w="342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Loss weights</w:t>
            </w:r>
          </w:p>
        </w:tc>
        <w:tc>
          <w:tcPr>
            <w:tcW w:w="593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at-home weight 0.9, activity weight 0.5, co-presence weight 0.5</w:t>
            </w:r>
          </w:p>
        </w:tc>
      </w:tr>
      <w:tr>
        <w:tc>
          <w:tcPr>
            <w:tcW w:w="342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Label smoothing</w:t>
            </w:r>
          </w:p>
        </w:tc>
        <w:tc>
          <w:tcPr>
            <w:tcW w:w="593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0.05</w:t>
            </w:r>
          </w:p>
        </w:tc>
      </w:tr>
    </w:tbl>
    <w:p>
      <w:pPr>
        <w:pStyle w:val="BodyText"/>
      </w:pPr>
      <w:r>
        <w:rPr>
          <w:i/>
          <w:iCs/>
        </w:rPr>
        <w:t xml:space="preserve">Selection-check results for the chosen model.</w:t>
      </w:r>
    </w:p>
    <w:tbl>
      <w:tblPr>
        <w:tblStyle w:val="Table"/>
        <w:tblW w:type="pct" w:w="5000"/>
        <w:tblLayout w:type="fixed"/>
        <w:tblCellMar>
          <w:left w:w="72" w:type="dxa"/>
          <w:right w:w="72" w:type="dxa"/>
        </w:tblCellMar>
        <w:tblLook w:firstRow="1" w:lastRow="0" w:firstColumn="0" w:lastColumn="0" w:noHBand="0" w:noVBand="0" w:val="0020"/>
      </w:tblPr>
      <w:tblGrid>
        <w:gridCol w:w="3776"/>
        <w:gridCol w:w="3448"/>
        <w:gridCol w:w="1149"/>
        <w:gridCol w:w="987"/>
      </w:tblGrid>
      <w:tr>
        <w:trPr>
          <w:tblHeader w:val="on"/>
        </w:trPr>
        <w:tc>
          <w:tcPr>
            <w:tcW w:w="377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>
            <w:tcW w:w="34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w="114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Chosen model’s result</w:t>
            </w:r>
          </w:p>
        </w:tc>
        <w:tc>
          <w:tcPr>
            <w:tcW w:w="9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w="377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Activity-distribution distance</w:t>
            </w:r>
          </w:p>
        </w:tc>
        <w:tc>
          <w:tcPr>
            <w:tcW w:w="34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0.05 or below</w:t>
            </w:r>
          </w:p>
        </w:tc>
        <w:tc>
          <w:tcPr>
            <w:tcW w:w="114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0.0191</w:t>
            </w:r>
          </w:p>
        </w:tc>
        <w:tc>
          <w:tcPr>
            <w:tcW w:w="9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w="377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At-home error</w:t>
            </w:r>
          </w:p>
        </w:tc>
        <w:tc>
          <w:tcPr>
            <w:tcW w:w="34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5.3 percentage points or below</w:t>
            </w:r>
          </w:p>
        </w:tc>
        <w:tc>
          <w:tcPr>
            <w:tcW w:w="114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4.57 pp</w:t>
            </w:r>
          </w:p>
        </w:tc>
        <w:tc>
          <w:tcPr>
            <w:tcW w:w="9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w="377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Spousal co-presence gap (absolute)</w:t>
            </w:r>
          </w:p>
        </w:tc>
        <w:tc>
          <w:tcPr>
            <w:tcW w:w="34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5.0 percentage points or below</w:t>
            </w:r>
          </w:p>
        </w:tc>
        <w:tc>
          <w:tcPr>
            <w:tcW w:w="114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2.03 pp</w:t>
            </w:r>
          </w:p>
        </w:tc>
        <w:tc>
          <w:tcPr>
            <w:tcW w:w="9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w="377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Composite score</w:t>
            </w:r>
          </w:p>
        </w:tc>
        <w:tc>
          <w:tcPr>
            <w:tcW w:w="3448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Below 1.045</w:t>
            </w:r>
          </w:p>
        </w:tc>
        <w:tc>
          <w:tcPr>
            <w:tcW w:w="1149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0.6355</w:t>
            </w:r>
          </w:p>
        </w:tc>
        <w:tc>
          <w:tcPr>
            <w:tcW w:w="987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</w:t>
            </w:r>
          </w:p>
        </w:tc>
      </w:tr>
    </w:tbl>
    <w:p>
      <w:pPr>
        <w:pStyle w:val="BodyText"/>
      </w:pPr>
      <w:r>
        <w:t xml:space="preserve">The origin of the four thresholds is described in Section S2.</w:t>
      </w:r>
    </w:p>
    <w:p>
      <w:pPr>
        <w:pStyle w:val="BodyText"/>
      </w:pPr>
      <w:r>
        <w:t xml:space="preserve">Two notable candidates did not clear the checks. One masked-discrete-diffusion design scored the</w:t>
      </w:r>
      <w:r>
        <w:t xml:space="preserve"> </w:t>
      </w:r>
      <w:r>
        <w:t xml:space="preserve">best composite of the whole search (0.559). It did not meet two of the four checks: its at-home</w:t>
      </w:r>
      <w:r>
        <w:t xml:space="preserve"> </w:t>
      </w:r>
      <w:r>
        <w:t xml:space="preserve">error was 7.81 pp and its activity-distance was 0.0529. The cross-attention decoders with the best</w:t>
      </w:r>
      <w:r>
        <w:t xml:space="preserve"> </w:t>
      </w:r>
      <w:r>
        <w:t xml:space="preserve">training loss broke down at generation time. Their co-presence errors were 20 or more percentage</w:t>
      </w:r>
      <w:r>
        <w:t xml:space="preserve"> </w:t>
      </w:r>
      <w:r>
        <w:t xml:space="preserve">points.</w:t>
      </w:r>
    </w:p>
    <w:p>
      <w:pPr>
        <w:pStyle w:val="BodyText"/>
      </w:pPr>
      <w:r>
        <w:rPr>
          <w:i/>
          <w:iCs/>
        </w:rPr>
        <w:t xml:space="preserve">Post-hoc calibration.</w:t>
      </w:r>
      <w:r>
        <w:t xml:space="preserve"> </w:t>
      </w:r>
      <w:r>
        <w:t xml:space="preserve">A marginal raking step per (cycle x day-type x slot) is applied after</w:t>
      </w:r>
      <w:r>
        <w:t xml:space="preserve"> </w:t>
      </w:r>
      <w:r>
        <w:t xml:space="preserve">inference. It makes each stratum’s at-home marginal match its target exactly. The cost is that about</w:t>
      </w:r>
      <w:r>
        <w:t xml:space="preserve"> </w:t>
      </w:r>
      <w:r>
        <w:t xml:space="preserve">1.8 to 2.1 percent of slot-records end up with a mismatched activity label. Their activity label no</w:t>
      </w:r>
      <w:r>
        <w:t xml:space="preserve"> </w:t>
      </w:r>
      <w:r>
        <w:t xml:space="preserve">longer matches their own at-home flag. This is harmless to the building energy model, which reads</w:t>
      </w:r>
      <w:r>
        <w:t xml:space="preserve"> </w:t>
      </w:r>
      <w:r>
        <w:t xml:space="preserve">only the at-home flag. Before raking, the raw per-cell at-home gap reached 15.37 percentage points.</w:t>
      </w:r>
    </w:p>
    <w:p>
      <w:pPr>
        <w:pStyle w:val="BodyText"/>
      </w:pPr>
      <w:r>
        <w:rPr>
          <w:i/>
          <w:iCs/>
        </w:rPr>
        <w:t xml:space="preserve">Inference.</w:t>
      </w:r>
      <w:r>
        <w:t xml:space="preserve"> </w:t>
      </w:r>
      <w:r>
        <w:t xml:space="preserve">Activities are sampled at temperature 0.8. The binary heads are thresholded at 0.5. Two</w:t>
      </w:r>
      <w:r>
        <w:t xml:space="preserve"> </w:t>
      </w:r>
      <w:r>
        <w:t xml:space="preserve">consistency rules are applied afterward. Sleep at night implies at home. Work implies away when the</w:t>
      </w:r>
      <w:r>
        <w:t xml:space="preserve"> </w:t>
      </w:r>
      <w:r>
        <w:t xml:space="preserve">work-from-home flag is not set.</w:t>
      </w:r>
    </w:p>
    <w:p>
      <w:pPr>
        <w:pStyle w:val="BodyText"/>
      </w:pPr>
      <w:r>
        <w:rPr>
          <w:i/>
          <w:iCs/>
        </w:rPr>
        <w:t xml:space="preserve">Output.</w:t>
      </w:r>
      <w:r>
        <w:t xml:space="preserve"> </w:t>
      </w:r>
      <w:r>
        <w:t xml:space="preserve">The output is 192,183 diary-days: about 128,000 synthesized and 64,000 observed.</w:t>
      </w:r>
    </w:p>
    <w:p>
      <w:pPr>
        <w:pStyle w:val="BodyText"/>
      </w:pPr>
      <w:r>
        <w:t xml:space="preserve">The model works with a fixed activity codebook and a fixed set of co-presence columns. Table S2</w:t>
      </w:r>
      <w:r>
        <w:t xml:space="preserve"> </w:t>
      </w:r>
      <w:r>
        <w:t xml:space="preserve">lists the 14 activity categories and the nine co-presence columns.</w:t>
      </w:r>
    </w:p>
    <w:p>
      <w:pPr>
        <w:pStyle w:val="BodyText"/>
        <w:keepNext/>
        <w:jc w:val="center"/>
      </w:pPr>
      <w:r>
        <w:rPr>
          <w:b/>
          <w:bCs/>
        </w:rPr>
        <w:t xml:space="preserve">Table S2.</w:t>
      </w:r>
      <w:r>
        <w:t xml:space="preserve"> </w:t>
      </w:r>
      <w:r>
        <w:t xml:space="preserve">Activity codebook and co-presence columns.</w:t>
      </w:r>
    </w:p>
    <w:p>
      <w:pPr>
        <w:pStyle w:val="BodyText"/>
      </w:pPr>
      <w:r>
        <w:rPr>
          <w:i/>
          <w:iCs/>
        </w:rPr>
        <w:t xml:space="preserve">Activity categories.</w:t>
      </w:r>
      <w:r>
        <w:t xml:space="preserve"> </w:t>
      </w:r>
      <w:r>
        <w:t xml:space="preserve">Every diary slot is assigned one of 14 activity categories. These are work</w:t>
      </w:r>
      <w:r>
        <w:t xml:space="preserve"> </w:t>
      </w:r>
      <w:r>
        <w:t xml:space="preserve">(paid work and telework), household work and maintenance, caregiving, purchasing, sleep, eating and</w:t>
      </w:r>
      <w:r>
        <w:t xml:space="preserve"> </w:t>
      </w:r>
      <w:r>
        <w:t xml:space="preserve">drinking, and personal care. The rest are education, socializing, passive leisure, active leisure,</w:t>
      </w:r>
      <w:r>
        <w:t xml:space="preserve"> </w:t>
      </w:r>
      <w:r>
        <w:t xml:space="preserve">community or volunteer activity, travel, and miscellaneous. The number of raw survey activity codes</w:t>
      </w:r>
      <w:r>
        <w:t xml:space="preserve"> </w:t>
      </w:r>
      <w:r>
        <w:t xml:space="preserve">mapped onto this 14-category scheme differs by survey cycle. There are 182 raw codes in 2005, 264 in</w:t>
      </w:r>
      <w:r>
        <w:t xml:space="preserve"> </w:t>
      </w:r>
      <w:r>
        <w:t xml:space="preserve">2010, 64 in 2015 and 121 in 2022. There are zero disambiguation conflicts across all four cycles.</w:t>
      </w:r>
    </w:p>
    <w:p>
      <w:pPr>
        <w:pStyle w:val="BodyText"/>
      </w:pPr>
      <w:r>
        <w:rPr>
          <w:i/>
          <w:iCs/>
        </w:rPr>
        <w:t xml:space="preserve">Co-presence columns.</w:t>
      </w:r>
      <w:r>
        <w:t xml:space="preserve"> </w:t>
      </w:r>
      <w:r>
        <w:t xml:space="preserve">Nine unified co-presence columns record who else is present with the</w:t>
      </w:r>
      <w:r>
        <w:t xml:space="preserve"> </w:t>
      </w:r>
      <w:r>
        <w:t xml:space="preserve">respondent. They are alone, spouse or partner, children under 15, parents or parents-in-law, and</w:t>
      </w:r>
      <w:r>
        <w:t xml:space="preserve"> </w:t>
      </w:r>
      <w:r>
        <w:t xml:space="preserve">other household members 15 or over. The others are other household members, friends, other persons,</w:t>
      </w:r>
      <w:r>
        <w:t xml:space="preserve"> </w:t>
      </w:r>
      <w:r>
        <w:t xml:space="preserve">and work colleagues. These nine columns are built from ten raw survey columns. Colleagues is not</w:t>
      </w:r>
      <w:r>
        <w:t xml:space="preserve"> </w:t>
      </w:r>
      <w:r>
        <w:t xml:space="preserve">collected in 2005 or 2010, so it is entirely missing for those two cycles. Per-cycle non-missing</w:t>
      </w:r>
      <w:r>
        <w:t xml:space="preserve"> </w:t>
      </w:r>
      <w:r>
        <w:t xml:space="preserve">rates are about 20 percent in 2005 and 19.3 percent in 2010. They are 0.1 percent in 2015 and 6.8</w:t>
      </w:r>
      <w:r>
        <w:t xml:space="preserve"> </w:t>
      </w:r>
      <w:r>
        <w:t xml:space="preserve">percent in 2022.</w:t>
      </w:r>
    </w:p>
    <w:bookmarkEnd w:id="40"/>
    <w:bookmarkStart w:id="41" w:name="s2-model-selection-search"/>
    <w:p>
      <w:pPr>
        <w:pStyle w:val="Heading2"/>
      </w:pPr>
      <w:r>
        <w:t xml:space="preserve">S2 Model selection search</w:t>
      </w:r>
    </w:p>
    <w:p>
      <w:pPr>
        <w:pStyle w:val="FirstParagraph"/>
      </w:pPr>
      <w:r>
        <w:rPr>
          <w:b/>
          <w:bCs/>
        </w:rPr>
        <w:t xml:space="preserve">How many candidates.</w:t>
      </w:r>
      <w:r>
        <w:t xml:space="preserve"> </w:t>
      </w:r>
      <w:r>
        <w:t xml:space="preserve">Over 40 candidate model designs were tried in a staged search. Each design</w:t>
      </w:r>
      <w:r>
        <w:t xml:space="preserve"> </w:t>
      </w:r>
      <w:r>
        <w:t xml:space="preserve">was first trained on a small 2% slice of the data, then on 20%, then on the full data. Clearly weak</w:t>
      </w:r>
      <w:r>
        <w:t xml:space="preserve"> </w:t>
      </w:r>
      <w:r>
        <w:t xml:space="preserve">designs could thus be dropped early, without spending full training time on them. The candidates</w:t>
      </w:r>
      <w:r>
        <w:t xml:space="preserve"> </w:t>
      </w:r>
      <w:r>
        <w:t xml:space="preserve">covered several families. These were simple statistical (Markov chain) models, autoregressive</w:t>
      </w:r>
      <w:r>
        <w:t xml:space="preserve"> </w:t>
      </w:r>
      <w:r>
        <w:t xml:space="preserve">sequence models, variational autoencoders and GAN-style models. They also included cross-attention</w:t>
      </w:r>
      <w:r>
        <w:t xml:space="preserve"> </w:t>
      </w:r>
      <w:r>
        <w:t xml:space="preserve">architectures and masked discrete-diffusion models.</w:t>
      </w:r>
    </w:p>
    <w:p>
      <w:pPr>
        <w:pStyle w:val="BodyText"/>
      </w:pPr>
      <w:r>
        <w:rPr>
          <w:b/>
          <w:bCs/>
        </w:rPr>
        <w:t xml:space="preserve">The four checks used to keep or reject a candidate.</w:t>
      </w:r>
      <w:r>
        <w:t xml:space="preserve"> </w:t>
      </w:r>
      <w:r>
        <w:t xml:space="preserve">A candidate had to pass all four checks to</w:t>
      </w:r>
      <w:r>
        <w:t xml:space="preserve"> </w:t>
      </w:r>
      <w:r>
        <w:t xml:space="preserve">be considered:</w:t>
      </w:r>
      <w:r>
        <w:t xml:space="preserve"> </w:t>
      </w:r>
      <w:r>
        <w:t xml:space="preserve">- The distance between the generated mix of activities and the real mix. This is a Jensen-Shannon</w:t>
      </w:r>
      <w:r>
        <w:t xml:space="preserve"> </w:t>
      </w:r>
      <w:r>
        <w:t xml:space="preserve">divergence, capped at 0.05.</w:t>
      </w:r>
      <w:r>
        <w:t xml:space="preserve"> </w:t>
      </w:r>
      <w:r>
        <w:t xml:space="preserve">- The error of the generated at-home percentage against observed data. It is measured in percentage</w:t>
      </w:r>
      <w:r>
        <w:t xml:space="preserve"> </w:t>
      </w:r>
      <w:r>
        <w:t xml:space="preserve">points and capped at 5.3 pp.</w:t>
      </w:r>
      <w:r>
        <w:t xml:space="preserve"> </w:t>
      </w:r>
      <w:r>
        <w:t xml:space="preserve">- The error of the generated share of time spent with a spouse or partner. It is capped at 5.0</w:t>
      </w:r>
      <w:r>
        <w:t xml:space="preserve"> </w:t>
      </w:r>
      <w:r>
        <w:t xml:space="preserve">percentage points.</w:t>
      </w:r>
      <w:r>
        <w:t xml:space="preserve"> </w:t>
      </w:r>
      <w:r>
        <w:t xml:space="preserve">- A single combined score that blends several of the above. It is capped just under 1.045.</w:t>
      </w:r>
    </w:p>
    <w:p>
      <w:pPr>
        <w:pStyle w:val="BodyText"/>
      </w:pPr>
      <w:r>
        <w:rPr>
          <w:b/>
          <w:bCs/>
        </w:rPr>
        <w:t xml:space="preserve">Where the four thresholds come from.</w:t>
      </w:r>
      <w:r>
        <w:t xml:space="preserve"> </w:t>
      </w:r>
      <w:r>
        <w:t xml:space="preserve">The thresholds were carried over from an earlier baseline</w:t>
      </w:r>
      <w:r>
        <w:t xml:space="preserve"> </w:t>
      </w:r>
      <w:r>
        <w:t xml:space="preserve">model. They were not derived independently. Two of them equal that baseline model’s own scores: the</w:t>
      </w:r>
      <w:r>
        <w:t xml:space="preserve"> </w:t>
      </w:r>
      <w:r>
        <w:t xml:space="preserve">combined-score cap of 1.045 and the at-home error cap of 5.3 pp. The activity-distance cap (0.05) is</w:t>
      </w:r>
      <w:r>
        <w:t xml:space="preserve"> </w:t>
      </w:r>
      <w:r>
        <w:t xml:space="preserve">a convention. The co-presence cap was set at 5 percentage points, tighter than the 10 points used</w:t>
      </w:r>
      <w:r>
        <w:t xml:space="preserve"> </w:t>
      </w:r>
      <w:r>
        <w:t xml:space="preserve">for the baseline. None of the four has an independent basis, such as a survey sampling-error floor.</w:t>
      </w:r>
      <w:r>
        <w:t xml:space="preserve"> </w:t>
      </w:r>
      <w:r>
        <w:t xml:space="preserve">This is a limitation of the selection procedure. The threshold-sensitivity result below shows how</w:t>
      </w:r>
      <w:r>
        <w:t xml:space="preserve"> </w:t>
      </w:r>
      <w:r>
        <w:t xml:space="preserve">much the choice of model depends on it.</w:t>
      </w:r>
    </w:p>
    <w:p>
      <w:pPr>
        <w:pStyle w:val="BodyText"/>
      </w:pPr>
      <w:r>
        <w:rPr>
          <w:b/>
          <w:bCs/>
        </w:rPr>
        <w:t xml:space="preserve">Which candidates passed.</w:t>
      </w:r>
      <w:r>
        <w:t xml:space="preserve"> </w:t>
      </w:r>
      <w:r>
        <w:t xml:space="preserve">Four candidates clear all four thresholds. They are the chosen model</w:t>
      </w:r>
      <w:r>
        <w:t xml:space="preserve"> </w:t>
      </w:r>
      <w:r>
        <w:t xml:space="preserve">and three variants of it with parts of its output-head design changed. Passing was necessary but not</w:t>
      </w:r>
      <w:r>
        <w:t xml:space="preserve"> </w:t>
      </w:r>
      <w:r>
        <w:t xml:space="preserve">sufficient. The chosen model was picked because it has the lowest (best) combined score of the four.</w:t>
      </w:r>
      <w:r>
        <w:t xml:space="preserve"> </w:t>
      </w:r>
      <w:r>
        <w:t xml:space="preserve">Some notable designs did not clear the thresholds. One masked-diffusion candidate produced the single</w:t>
      </w:r>
      <w:r>
        <w:t xml:space="preserve"> </w:t>
      </w:r>
      <w:r>
        <w:t xml:space="preserve">best combined score of the entire search. It did not meet the activity-distance and at-home checks.</w:t>
      </w:r>
      <w:r>
        <w:t xml:space="preserve"> </w:t>
      </w:r>
      <w:r>
        <w:t xml:space="preserve">Its at-home error was 7.81 percentage points, well above the 5.3 pp cap. The combined score alone is</w:t>
      </w:r>
      <w:r>
        <w:t xml:space="preserve"> </w:t>
      </w:r>
      <w:r>
        <w:t xml:space="preserve">therefore not a reliable stand-in for the four individual checks. Several cross-attention designs</w:t>
      </w:r>
      <w:r>
        <w:t xml:space="preserve"> </w:t>
      </w:r>
      <w:r>
        <w:t xml:space="preserve">achieved the best training performance of any family. However, they broke down when asked to</w:t>
      </w:r>
      <w:r>
        <w:t xml:space="preserve"> </w:t>
      </w:r>
      <w:r>
        <w:t xml:space="preserve">generate new diaries. Their co-presence errors were 19 to 23 percentage points, nearly four times the</w:t>
      </w:r>
      <w:r>
        <w:t xml:space="preserve"> </w:t>
      </w:r>
      <w:r>
        <w:t xml:space="preserve">5.0 pp cap. Good training performance therefore does not guarantee that a generated diary will look</w:t>
      </w:r>
      <w:r>
        <w:t xml:space="preserve"> </w:t>
      </w:r>
      <w:r>
        <w:t xml:space="preserve">right when actually sampled.</w:t>
      </w:r>
    </w:p>
    <w:p>
      <w:pPr>
        <w:pStyle w:val="BodyText"/>
      </w:pPr>
      <w:r>
        <w:rPr>
          <w:b/>
          <w:bCs/>
        </w:rPr>
        <w:t xml:space="preserve">Threshold-sensitivity result.</w:t>
      </w:r>
      <w:r>
        <w:t xml:space="preserve"> </w:t>
      </w:r>
      <w:r>
        <w:t xml:space="preserve">A follow-up check moved each of the four thresholds up and down by</w:t>
      </w:r>
      <w:r>
        <w:t xml:space="preserve"> </w:t>
      </w:r>
      <w:r>
        <w:t xml:space="preserve">10% and 20%. The thresholds were moved one at a time and all four together. The aim was to see</w:t>
      </w:r>
      <w:r>
        <w:t xml:space="preserve"> </w:t>
      </w:r>
      <w:r>
        <w:t xml:space="preserve">whether small changes to the checks would have changed which model is picked. There were 21 tested</w:t>
      </w:r>
      <w:r>
        <w:t xml:space="preserve"> </w:t>
      </w:r>
      <w:r>
        <w:t xml:space="preserve">variations. In all of them, the same four candidates pass together (the chosen model and the three</w:t>
      </w:r>
      <w:r>
        <w:t xml:space="preserve"> </w:t>
      </w:r>
      <w:r>
        <w:t xml:space="preserve">variants above), with one exception. The exception is a 20% tightening of the at-home-error check,</w:t>
      </w:r>
      <w:r>
        <w:t xml:space="preserve"> </w:t>
      </w:r>
      <w:r>
        <w:t xml:space="preserve">either alone or together with the other three. In that case, only one other variant still passes and</w:t>
      </w:r>
      <w:r>
        <w:t xml:space="preserve"> </w:t>
      </w:r>
      <w:r>
        <w:t xml:space="preserve">would be selected instead. In every scenario where the chosen model is still eligible, it remains the</w:t>
      </w:r>
      <w:r>
        <w:t xml:space="preserve"> </w:t>
      </w:r>
      <w:r>
        <w:t xml:space="preserve">one selected. The selection is therefore not sensitive to small changes in three of the four</w:t>
      </w:r>
      <w:r>
        <w:t xml:space="preserve"> </w:t>
      </w:r>
      <w:r>
        <w:t xml:space="preserve">thresholds. It is sensitive to the fourth, the at-home-error check, only at the most aggressive 20%</w:t>
      </w:r>
      <w:r>
        <w:t xml:space="preserve"> </w:t>
      </w:r>
      <w:r>
        <w:t xml:space="preserve">tightening tested.</w:t>
      </w:r>
    </w:p>
    <w:bookmarkEnd w:id="41"/>
    <w:bookmarkStart w:id="42" w:name="s3-diary-validation-on-a-held-out-year"/>
    <w:p>
      <w:pPr>
        <w:pStyle w:val="Heading2"/>
      </w:pPr>
      <w:r>
        <w:t xml:space="preserve">S3 Diary validation on a held-out year</w:t>
      </w:r>
    </w:p>
    <w:p>
      <w:pPr>
        <w:pStyle w:val="FirstParagraph"/>
      </w:pPr>
      <w:r>
        <w:t xml:space="preserve">Two related checks test whether the model’s generated diaries for the most recent survey year (2022)</w:t>
      </w:r>
      <w:r>
        <w:t xml:space="preserve"> </w:t>
      </w:r>
      <w:r>
        <w:t xml:space="preserve">look like real 2022 behaviour.</w:t>
      </w:r>
    </w:p>
    <w:p>
      <w:pPr>
        <w:pStyle w:val="BodyText"/>
      </w:pPr>
      <w:r>
        <w:rPr>
          <w:b/>
          <w:bCs/>
        </w:rPr>
        <w:t xml:space="preserve">The ceiling.</w:t>
      </w:r>
      <w:r>
        <w:t xml:space="preserve"> </w:t>
      </w:r>
      <w:r>
        <w:t xml:space="preserve">A single distributional distance ceiling of 0.10 was fixed for every day type:</w:t>
      </w:r>
      <w:r>
        <w:t xml:space="preserve"> </w:t>
      </w:r>
      <w:r>
        <w:t xml:space="preserve">weekday, Saturday and Sunday. It was fixed before either check was run. Both checks are reported</w:t>
      </w:r>
      <w:r>
        <w:t xml:space="preserve"> </w:t>
      </w:r>
      <w:r>
        <w:t xml:space="preserve">against it.</w:t>
      </w:r>
    </w:p>
    <w:p>
      <w:pPr>
        <w:pStyle w:val="BodyText"/>
      </w:pPr>
      <w:r>
        <w:rPr>
          <w:b/>
          <w:bCs/>
        </w:rPr>
        <w:t xml:space="preserve">Held-out-year test.</w:t>
      </w:r>
      <w:r>
        <w:t xml:space="preserve"> </w:t>
      </w:r>
      <w:r>
        <w:t xml:space="preserve">Here the model was trained only through the second-most-recent survey year</w:t>
      </w:r>
      <w:r>
        <w:t xml:space="preserve"> </w:t>
      </w:r>
      <w:r>
        <w:t xml:space="preserve">(2015). It was then asked to generate diaries for the entirely unseen 2022 year. On weekdays the</w:t>
      </w:r>
      <w:r>
        <w:t xml:space="preserve"> </w:t>
      </w:r>
      <w:r>
        <w:t xml:space="preserve">generated diaries scored 0.0619, within the 0.10 ceiling.</w:t>
      </w:r>
    </w:p>
    <w:p>
      <w:pPr>
        <w:pStyle w:val="BodyText"/>
      </w:pPr>
      <w:r>
        <w:rPr>
          <w:b/>
          <w:bCs/>
        </w:rPr>
        <w:t xml:space="preserve">Backcast reconstruction.</w:t>
      </w:r>
      <w:r>
        <w:t xml:space="preserve"> </w:t>
      </w:r>
      <w:r>
        <w:t xml:space="preserve">Separately, the fully trained model, which has now seen 2022 data, was</w:t>
      </w:r>
      <w:r>
        <w:t xml:space="preserve"> </w:t>
      </w:r>
      <w:r>
        <w:t xml:space="preserve">asked to reconstruct 2022 diaries. It used the real 2022 respondent information. On weekdays this</w:t>
      </w:r>
      <w:r>
        <w:t xml:space="preserve"> </w:t>
      </w:r>
      <w:r>
        <w:t xml:space="preserve">scored 0.0630, also within the 0.10 ceiling.</w:t>
      </w:r>
    </w:p>
    <w:p>
      <w:pPr>
        <w:pStyle w:val="BodyText"/>
      </w:pPr>
      <w:r>
        <w:rPr>
          <w:b/>
          <w:bCs/>
        </w:rPr>
        <w:t xml:space="preserve">Weekends do not meet the ceiling.</w:t>
      </w:r>
      <w:r>
        <w:t xml:space="preserve"> </w:t>
      </w:r>
      <w:r>
        <w:t xml:space="preserve">On weekends both checks score well above 0.10. The</w:t>
      </w:r>
      <w:r>
        <w:t xml:space="preserve"> </w:t>
      </w:r>
      <w:r>
        <w:t xml:space="preserve">held-out-year test scores 0.1817 (Saturday) and 0.1843 (Sunday). The backcast scores 0.1637 and</w:t>
      </w:r>
      <w:r>
        <w:t xml:space="preserve"> </w:t>
      </w:r>
      <w:r>
        <w:t xml:space="preserve">0.1618. No looser weekend ceiling is used.</w:t>
      </w:r>
    </w:p>
    <w:p>
      <w:pPr>
        <w:pStyle w:val="BodyText"/>
      </w:pPr>
      <w:r>
        <w:t xml:space="preserve">The weekend gap is concentrated in one identifiable part of the evaluation set. That set mixes two</w:t>
      </w:r>
      <w:r>
        <w:t xml:space="preserve"> </w:t>
      </w:r>
      <w:r>
        <w:t xml:space="preserve">kinds of rows. The first kind is diaries genuinely observed on that day type. The second kind is</w:t>
      </w:r>
      <w:r>
        <w:t xml:space="preserve"> </w:t>
      </w:r>
      <w:r>
        <w:t xml:space="preserve">diaries the model had to synthesize, because the respondent reported a different day type. On the</w:t>
      </w:r>
      <w:r>
        <w:t xml:space="preserve"> </w:t>
      </w:r>
      <w:r>
        <w:t xml:space="preserve">genuinely observed 2022 weekend diaries alone, the distance is 0.036 (Saturday) and 0.040 (Sunday).</w:t>
      </w:r>
      <w:r>
        <w:t xml:space="preserve"> </w:t>
      </w:r>
      <w:r>
        <w:t xml:space="preserve">Both are well inside the 0.10 ceiling. The synthesized rows sit 0.138 to 0.175 from the observed</w:t>
      </w:r>
      <w:r>
        <w:t xml:space="preserve"> </w:t>
      </w:r>
      <w:r>
        <w:t xml:space="preserve">distribution. Weekend diaries are fewer, and weekend behaviour is more varied. Raising the weekend</w:t>
      </w:r>
      <w:r>
        <w:t xml:space="preserve"> </w:t>
      </w:r>
      <w:r>
        <w:t xml:space="preserve">training weight twice moved the score by about 0.005. The gap therefore does not appear to be an</w:t>
      </w:r>
      <w:r>
        <w:t xml:space="preserve"> </w:t>
      </w:r>
      <w:r>
        <w:t xml:space="preserve">optimization shortfall. The synthesized weekend days are a limitation of the diary completion step.</w:t>
      </w:r>
    </w:p>
    <w:bookmarkEnd w:id="42"/>
    <w:bookmarkStart w:id="43" w:name="s4-post-hoc-calibration-raking-cost"/>
    <w:p>
      <w:pPr>
        <w:pStyle w:val="Heading2"/>
      </w:pPr>
      <w:r>
        <w:t xml:space="preserve">S4 Post-hoc calibration (raking) cost</w:t>
      </w:r>
    </w:p>
    <w:p>
      <w:pPr>
        <w:pStyle w:val="FirstParagraph"/>
      </w:pPr>
      <w:r>
        <w:t xml:space="preserve">After the model generates diaries, a calibration step called raking is applied. It nudges the</w:t>
      </w:r>
      <w:r>
        <w:t xml:space="preserve"> </w:t>
      </w:r>
      <w:r>
        <w:t xml:space="preserve">generated at-home percentages, slot by slot, to match their target values exactly. The step is</w:t>
      </w:r>
      <w:r>
        <w:t xml:space="preserve"> </w:t>
      </w:r>
      <w:r>
        <w:t xml:space="preserve">needed because the raw generated output is close to, but not exactly at, the target at-home</w:t>
      </w:r>
      <w:r>
        <w:t xml:space="preserve"> </w:t>
      </w:r>
      <w:r>
        <w:t xml:space="preserve">percentages. The cost is that roughly 1.8 to 2.1% of individual slot-records end up with a</w:t>
      </w:r>
      <w:r>
        <w:t xml:space="preserve"> </w:t>
      </w:r>
      <w:r>
        <w:t xml:space="preserve">mismatched activity label. Their activity label no longer matches their own at-home flag. An example</w:t>
      </w:r>
      <w:r>
        <w:t xml:space="preserve"> </w:t>
      </w:r>
      <w:r>
        <w:t xml:space="preserve">is a slot still labelled with an</w:t>
      </w:r>
      <w:r>
        <w:t xml:space="preserve"> </w:t>
      </w:r>
      <w:r>
        <w:t xml:space="preserve">“away”</w:t>
      </w:r>
      <w:r>
        <w:t xml:space="preserve"> </w:t>
      </w:r>
      <w:r>
        <w:t xml:space="preserve">activity after being nudged to</w:t>
      </w:r>
      <w:r>
        <w:t xml:space="preserve"> </w:t>
      </w:r>
      <w:r>
        <w:t xml:space="preserve">“at home”</w:t>
      </w:r>
      <w:r>
        <w:t xml:space="preserve">. This is treated as</w:t>
      </w:r>
      <w:r>
        <w:t xml:space="preserve"> </w:t>
      </w:r>
      <w:r>
        <w:t xml:space="preserve">harmless for the building energy model. That model reads only the at-home flag to decide occupancy.</w:t>
      </w:r>
      <w:r>
        <w:t xml:space="preserve"> </w:t>
      </w:r>
      <w:r>
        <w:t xml:space="preserve">It does not read the activity label for that purpose.</w:t>
      </w:r>
    </w:p>
    <w:bookmarkEnd w:id="43"/>
    <w:bookmarkStart w:id="44" w:name="Xe97a73a75eee7f01a304aae5d5e807e4304b6c7"/>
    <w:p>
      <w:pPr>
        <w:pStyle w:val="Heading2"/>
      </w:pPr>
      <w:r>
        <w:t xml:space="preserve">S5 From one diary day to a full year of hourly values</w:t>
      </w:r>
    </w:p>
    <w:p>
      <w:pPr>
        <w:pStyle w:val="FirstParagraph"/>
      </w:pPr>
      <w:r>
        <w:rPr>
          <w:b/>
          <w:bCs/>
        </w:rPr>
        <w:t xml:space="preserve">Two separate reductions turn one diary day into part of a year-long hourly schedule.</w:t>
      </w:r>
      <w:r>
        <w:t xml:space="preserve"> </w:t>
      </w:r>
      <w:r>
        <w:t xml:space="preserve">The</w:t>
      </w:r>
      <w:r>
        <w:t xml:space="preserve"> </w:t>
      </w:r>
      <w:r>
        <w:t xml:space="preserve">underlying diary has 48 half-hour slots per person per day. The first reduction folds each person’s</w:t>
      </w:r>
      <w:r>
        <w:t xml:space="preserve"> </w:t>
      </w:r>
      <w:r>
        <w:t xml:space="preserve">day down to 24 hourly values. It averages each pair of half-hour slots: hour h takes the average of</w:t>
      </w:r>
      <w:r>
        <w:t xml:space="preserve"> </w:t>
      </w:r>
      <w:r>
        <w:t xml:space="preserve">slots 2h and 2h+1. It then averages across every member of the household. This gives one occupancy</w:t>
      </w:r>
      <w:r>
        <w:t xml:space="preserve"> </w:t>
      </w:r>
      <w:r>
        <w:t xml:space="preserve">fraction and one metabolic rate per household per hour. The survey diary starts its clock at 4 a.m.,</w:t>
      </w:r>
      <w:r>
        <w:t xml:space="preserve"> </w:t>
      </w:r>
      <w:r>
        <w:t xml:space="preserve">not at midnight. The 24 hourly values are therefore shifted by 4 hours, so that hour 0 lines up with</w:t>
      </w:r>
      <w:r>
        <w:t xml:space="preserve"> </w:t>
      </w:r>
      <w:r>
        <w:t xml:space="preserve">real midnight. This matches the weather file’s clock.</w:t>
      </w:r>
    </w:p>
    <w:p>
      <w:pPr>
        <w:pStyle w:val="BodyText"/>
      </w:pPr>
      <w:r>
        <w:t xml:space="preserve">The second reduction concerns day types. Each household ends up with only two 24-hour profiles, a</w:t>
      </w:r>
      <w:r>
        <w:t xml:space="preserve"> </w:t>
      </w:r>
      <w:r>
        <w:t xml:space="preserve">Weekday profile and a Weekend profile, not seven separate days. Section S7 describes how a household</w:t>
      </w:r>
      <w:r>
        <w:t xml:space="preserve"> </w:t>
      </w:r>
      <w:r>
        <w:t xml:space="preserve">gets both profiles when the survey observed only one day (the donor draw). Section S9 describes how</w:t>
      </w:r>
      <w:r>
        <w:t xml:space="preserve"> </w:t>
      </w:r>
      <w:r>
        <w:t xml:space="preserve">those two 24-hour profiles become 8,760 hourly values covering a full simulated year.</w:t>
      </w:r>
    </w:p>
    <w:bookmarkEnd w:id="44"/>
    <w:bookmarkStart w:id="45" w:name="X12aa3346c7ed7e5b98f0f577eed8c59bc0ccfb8"/>
    <w:p>
      <w:pPr>
        <w:pStyle w:val="Heading2"/>
      </w:pPr>
      <w:r>
        <w:t xml:space="preserve">S6 Day-type strata: why weekday, Saturday and Sunday are handled separately</w:t>
      </w:r>
    </w:p>
    <w:p>
      <w:pPr>
        <w:pStyle w:val="FirstParagraph"/>
      </w:pPr>
      <w:r>
        <w:t xml:space="preserve">Each survey respondent reports a diary for exactly one day. That day is recorded as one of three</w:t>
      </w:r>
      <w:r>
        <w:t xml:space="preserve"> </w:t>
      </w:r>
      <w:r>
        <w:t xml:space="preserve">strata: a weekday, a Saturday or a Sunday. The three strata are kept separate through the earlier</w:t>
      </w:r>
      <w:r>
        <w:t xml:space="preserve"> </w:t>
      </w:r>
      <w:r>
        <w:t xml:space="preserve">stages of the pipeline, namely the generative model and the raking step. This is because at-home</w:t>
      </w:r>
      <w:r>
        <w:t xml:space="preserve"> </w:t>
      </w:r>
      <w:r>
        <w:t xml:space="preserve">behaviour genuinely differs across all three, not just between weekdays and weekends. In the 2022</w:t>
      </w:r>
      <w:r>
        <w:t xml:space="preserve"> </w:t>
      </w:r>
      <w:r>
        <w:t xml:space="preserve">stock, the daily at-home share is 74.1 percent on weekdays, 76.0 percent on Saturdays and 78.9</w:t>
      </w:r>
      <w:r>
        <w:t xml:space="preserve"> </w:t>
      </w:r>
      <w:r>
        <w:t xml:space="preserve">percent on Sundays. These shares are per person, unweighted, and averaged over the 48 half-hour</w:t>
      </w:r>
      <w:r>
        <w:t xml:space="preserve"> </w:t>
      </w:r>
      <w:r>
        <w:t xml:space="preserve">slots of the day.</w:t>
      </w:r>
    </w:p>
    <w:p>
      <w:pPr>
        <w:pStyle w:val="BodyText"/>
      </w:pPr>
      <w:r>
        <w:t xml:space="preserve">When the schedule is handed to the building energy model, the three strata are reduced to two.</w:t>
      </w:r>
      <w:r>
        <w:t xml:space="preserve"> </w:t>
      </w:r>
      <w:r>
        <w:t xml:space="preserve">Saturday and Sunday are pooled into a single Weekend profile. Only the Weekday and Weekend profiles</w:t>
      </w:r>
      <w:r>
        <w:t xml:space="preserve"> </w:t>
      </w:r>
      <w:r>
        <w:t xml:space="preserve">are carried forward. This is a deliberate simplification with a known cost. Pooling loses the</w:t>
      </w:r>
      <w:r>
        <w:t xml:space="preserve"> </w:t>
      </w:r>
      <w:r>
        <w:t xml:space="preserve">calibrated difference between Saturday and Sunday entirely, in both years. In the same unit as above,</w:t>
      </w:r>
      <w:r>
        <w:t xml:space="preserve"> </w:t>
      </w:r>
      <w:r>
        <w:t xml:space="preserve">the lost difference is 2.9 percentage points in 2022 (Saturday 76.0 percent, Sunday 78.9 percent).</w:t>
      </w:r>
      <w:r>
        <w:t xml:space="preserve"> </w:t>
      </w:r>
      <w:r>
        <w:t xml:space="preserve">It is 2.3 points in the 2030 main scenario (Saturday 77.9 percent, Sunday 80.2 percent). In both</w:t>
      </w:r>
      <w:r>
        <w:t xml:space="preserve"> </w:t>
      </w:r>
      <w:r>
        <w:t xml:space="preserve">years people are at home more on Sunday. This is a limitation of the two-day-type design. The</w:t>
      </w:r>
      <w:r>
        <w:t xml:space="preserve"> </w:t>
      </w:r>
      <w:r>
        <w:t xml:space="preserve">building energy model consumes only a Weekday/Weekend schedule. Carrying a third day type through to</w:t>
      </w:r>
      <w:r>
        <w:t xml:space="preserve"> </w:t>
      </w:r>
      <w:r>
        <w:t xml:space="preserve">that stage would require changing the building energy model itself.</w:t>
      </w:r>
    </w:p>
    <w:bookmarkEnd w:id="45"/>
    <w:bookmarkStart w:id="46" w:name="X4321aaf8e5c8166ccbf9fc43b20a73a7772c9f1"/>
    <w:p>
      <w:pPr>
        <w:pStyle w:val="Heading2"/>
      </w:pPr>
      <w:r>
        <w:t xml:space="preserve">S7 The donor pool and the draw rule for completing a missing day type</w:t>
      </w:r>
    </w:p>
    <w:p>
      <w:pPr>
        <w:pStyle w:val="FirstParagraph"/>
      </w:pPr>
      <w:r>
        <w:rPr>
          <w:b/>
          <w:bCs/>
        </w:rPr>
        <w:t xml:space="preserve">What problem this step solves.</w:t>
      </w:r>
      <w:r>
        <w:t xml:space="preserve"> </w:t>
      </w:r>
      <w:r>
        <w:t xml:space="preserve">Each respondent reports only one day. Most households therefore</w:t>
      </w:r>
      <w:r>
        <w:t xml:space="preserve"> </w:t>
      </w:r>
      <w:r>
        <w:t xml:space="preserve">have a diary for only one of the two profiles a schedule needs, Weekday or Weekend. Before a</w:t>
      </w:r>
      <w:r>
        <w:t xml:space="preserve"> </w:t>
      </w:r>
      <w:r>
        <w:t xml:space="preserve">household’s schedule can be built, the missing profile has to be filled in. This step is separate</w:t>
      </w:r>
      <w:r>
        <w:t xml:space="preserve"> </w:t>
      </w:r>
      <w:r>
        <w:t xml:space="preserve">from, and later than, the demographic donor-matching that assigns every household its first diary</w:t>
      </w:r>
      <w:r>
        <w:t xml:space="preserve"> </w:t>
      </w:r>
      <w:r>
        <w:t xml:space="preserve">(covered in the main text). That earlier step decides which diary a household starts with. This step</w:t>
      </w:r>
      <w:r>
        <w:t xml:space="preserve"> </w:t>
      </w:r>
      <w:r>
        <w:t xml:space="preserve">decides what happens to the day type that diary does not cover.</w:t>
      </w:r>
    </w:p>
    <w:p>
      <w:pPr>
        <w:pStyle w:val="BodyText"/>
      </w:pPr>
      <w:r>
        <w:rPr>
          <w:b/>
          <w:bCs/>
        </w:rPr>
        <w:t xml:space="preserve">The donor pool.</w:t>
      </w:r>
      <w:r>
        <w:t xml:space="preserve"> </w:t>
      </w:r>
      <w:r>
        <w:t xml:space="preserve">The pool for a missing day type is simple. It is every person-record in the same</w:t>
      </w:r>
      <w:r>
        <w:t xml:space="preserve"> </w:t>
      </w:r>
      <w:r>
        <w:t xml:space="preserve">year’s data that already carries the needed day type. A household missing its Weekend profile draws</w:t>
      </w:r>
      <w:r>
        <w:t xml:space="preserve"> </w:t>
      </w:r>
      <w:r>
        <w:t xml:space="preserve">from every record tagged Saturday or Sunday. The two days are pooled into one donor pool, matching</w:t>
      </w:r>
      <w:r>
        <w:t xml:space="preserve"> </w:t>
      </w:r>
      <w:r>
        <w:t xml:space="preserve">the Weekend target. A household missing its Weekday profile draws from every record tagged weekday.</w:t>
      </w:r>
      <w:r>
        <w:t xml:space="preserve"> </w:t>
      </w:r>
      <w:r>
        <w:t xml:space="preserve">Unlike the earlier demographic donor-matching step, this donor pool is not narrowed by any</w:t>
      </w:r>
      <w:r>
        <w:t xml:space="preserve"> </w:t>
      </w:r>
      <w:r>
        <w:t xml:space="preserve">demographic key, such as age, sex or household size. Any record of the right day type is eligible.</w:t>
      </w:r>
      <w:r>
        <w:t xml:space="preserve"> </w:t>
      </w:r>
      <w:r>
        <w:t xml:space="preserve">Only the recipient household’s own dwelling and household attributes are kept, such as household</w:t>
      </w:r>
      <w:r>
        <w:t xml:space="preserve"> </w:t>
      </w:r>
      <w:r>
        <w:t xml:space="preserve">size, dwelling type and province. The donor supplies only the activity sequence and at-home flags</w:t>
      </w:r>
      <w:r>
        <w:t xml:space="preserve"> </w:t>
      </w:r>
      <w:r>
        <w:t xml:space="preserve">for the missing day. For the 2030 scenario year, the donor pool is the already-assembled 2030 file</w:t>
      </w:r>
      <w:r>
        <w:t xml:space="preserve"> </w:t>
      </w:r>
      <w:r>
        <w:t xml:space="preserve">itself. A donor’s occupancy therefore still reflects the 2030 scenario rather than 2022 behaviour.</w:t>
      </w:r>
    </w:p>
    <w:p>
      <w:pPr>
        <w:pStyle w:val="BodyText"/>
      </w:pPr>
      <w:r>
        <w:rPr>
          <w:b/>
          <w:bCs/>
        </w:rPr>
        <w:t xml:space="preserve">The draw rule.</w:t>
      </w:r>
      <w:r>
        <w:t xml:space="preserve"> </w:t>
      </w:r>
      <w:r>
        <w:t xml:space="preserve">The draw is made once per household member who needs the missing day type, not</w:t>
      </w:r>
      <w:r>
        <w:t xml:space="preserve"> </w:t>
      </w:r>
      <w:r>
        <w:t xml:space="preserve">once per household. Each such member independently draws its own donor row from the pool described</w:t>
      </w:r>
      <w:r>
        <w:t xml:space="preserve"> </w:t>
      </w:r>
      <w:r>
        <w:t xml:space="preserve">above. Two members of the same household missing the same day type can therefore get donors from two</w:t>
      </w:r>
      <w:r>
        <w:t xml:space="preserve"> </w:t>
      </w:r>
      <w:r>
        <w:t xml:space="preserve">different donor households. The draw uses a fixed random-number seed (seed 42). Given the same input</w:t>
      </w:r>
      <w:r>
        <w:t xml:space="preserve"> </w:t>
      </w:r>
      <w:r>
        <w:t xml:space="preserve">file, the same recipient always receives the same donor row. Running the completion step twice on the</w:t>
      </w:r>
      <w:r>
        <w:t xml:space="preserve"> </w:t>
      </w:r>
      <w:r>
        <w:t xml:space="preserve">same input produces byte-identical output. The per-member draw has a direct consequence for imputed</w:t>
      </w:r>
      <w:r>
        <w:t xml:space="preserve"> </w:t>
      </w:r>
      <w:r>
        <w:t xml:space="preserve">days. Their within-household presence pattern, meaning who is home at the same time as whom, is</w:t>
      </w:r>
      <w:r>
        <w:t xml:space="preserve"> </w:t>
      </w:r>
      <w:r>
        <w:t xml:space="preserve">synthetic, not observed. This is treated as harmless to the building energy model specifically. That</w:t>
      </w:r>
      <w:r>
        <w:t xml:space="preserve"> </w:t>
      </w:r>
      <w:r>
        <w:t xml:space="preserve">model reads only each household’s overall occupancy fraction and metabolic rate for each hour. It</w:t>
      </w:r>
      <w:r>
        <w:t xml:space="preserve"> </w:t>
      </w:r>
      <w:r>
        <w:t xml:space="preserve">does not read which individual members are home together.</w:t>
      </w:r>
    </w:p>
    <w:p>
      <w:pPr>
        <w:pStyle w:val="BodyText"/>
      </w:pPr>
      <w:r>
        <w:rPr>
          <w:b/>
          <w:bCs/>
        </w:rPr>
        <w:t xml:space="preserve">Why a donor draw rather than a copied day.</w:t>
      </w:r>
      <w:r>
        <w:t xml:space="preserve"> </w:t>
      </w:r>
      <w:r>
        <w:t xml:space="preserve">An earlier version of this step filled a missing day</w:t>
      </w:r>
      <w:r>
        <w:t xml:space="preserve"> </w:t>
      </w:r>
      <w:r>
        <w:t xml:space="preserve">by copying the household’s own observed day onto the missing slot. For example, a Weekday-only</w:t>
      </w:r>
      <w:r>
        <w:t xml:space="preserve"> </w:t>
      </w:r>
      <w:r>
        <w:t xml:space="preserve">household’s Saturday and Sunday would simply repeat its Weekday diary. This biased the calibrated</w:t>
      </w:r>
      <w:r>
        <w:t xml:space="preserve"> </w:t>
      </w:r>
      <w:r>
        <w:t xml:space="preserve">weekend average downward by 2.76 percentage points. The reason is that a household’s own weekday</w:t>
      </w:r>
      <w:r>
        <w:t xml:space="preserve"> </w:t>
      </w:r>
      <w:r>
        <w:t xml:space="preserve">diary carries weekday behaviour into a weekend slot. Weekend at-home rates are the higher of the two.</w:t>
      </w:r>
      <w:r>
        <w:t xml:space="preserve"> </w:t>
      </w:r>
      <w:r>
        <w:t xml:space="preserve">The donor-draw method was adopted specifically to remove this bias, and it does. It draws a genuine</w:t>
      </w:r>
      <w:r>
        <w:t xml:space="preserve"> </w:t>
      </w:r>
      <w:r>
        <w:t xml:space="preserve">weekend (or weekday) diary rather than repeating the household’s own day. The calibrated weekend</w:t>
      </w:r>
      <w:r>
        <w:t xml:space="preserve"> </w:t>
      </w:r>
      <w:r>
        <w:t xml:space="preserve">marginal is therefore preserved rather than diluted.</w:t>
      </w:r>
    </w:p>
    <w:p>
      <w:pPr>
        <w:pStyle w:val="BodyText"/>
      </w:pPr>
      <w:r>
        <w:rPr>
          <w:b/>
          <w:bCs/>
        </w:rPr>
        <w:t xml:space="preserve">Historic years use the same mechanism, restricted to their own year.</w:t>
      </w:r>
      <w:r>
        <w:t xml:space="preserve"> </w:t>
      </w:r>
      <w:r>
        <w:t xml:space="preserve">The 2005, 2010 and 2015</w:t>
      </w:r>
      <w:r>
        <w:t xml:space="preserve"> </w:t>
      </w:r>
      <w:r>
        <w:t xml:space="preserve">schedule files are built by a separate copy of this same completion step. It is applied only after</w:t>
      </w:r>
      <w:r>
        <w:t xml:space="preserve"> </w:t>
      </w:r>
      <w:r>
        <w:t xml:space="preserve">each cycle’s own diaries have been assembled onto the analytical household frame. The donor pool for</w:t>
      </w:r>
      <w:r>
        <w:t xml:space="preserve"> </w:t>
      </w:r>
      <w:r>
        <w:t xml:space="preserve">a historic year is drawn only from that year’s own diary pool. A 2015 household’s missing day type</w:t>
      </w:r>
      <w:r>
        <w:t xml:space="preserve"> </w:t>
      </w:r>
      <w:r>
        <w:t xml:space="preserve">can therefore never be filled from a 2005 or 2022 record.</w:t>
      </w:r>
    </w:p>
    <w:bookmarkEnd w:id="46"/>
    <w:bookmarkStart w:id="47" w:name="X6fb08829775f99ebe247fad8653268fefb2734f"/>
    <w:p>
      <w:pPr>
        <w:pStyle w:val="Heading2"/>
      </w:pPr>
      <w:r>
        <w:t xml:space="preserve">S8 Household sampling for the building simulation</w:t>
      </w:r>
    </w:p>
    <w:p>
      <w:pPr>
        <w:pStyle w:val="FirstParagraph"/>
      </w:pPr>
      <w:r>
        <w:rPr>
          <w:b/>
          <w:bCs/>
        </w:rPr>
        <w:t xml:space="preserve">A separate draw from the donor draw above.</w:t>
      </w:r>
      <w:r>
        <w:t xml:space="preserve"> </w:t>
      </w:r>
      <w:r>
        <w:t xml:space="preserve">After the schedule files are finished, 50 households</w:t>
      </w:r>
      <w:r>
        <w:t xml:space="preserve"> </w:t>
      </w:r>
      <w:r>
        <w:t xml:space="preserve">are drawn for each city-and-building-type group used in the building simulation. The draw is without</w:t>
      </w:r>
      <w:r>
        <w:t xml:space="preserve"> </w:t>
      </w:r>
      <w:r>
        <w:t xml:space="preserve">repeats, unless a group has fewer than 50 households. In that case, draws with repeats are used. The</w:t>
      </w:r>
      <w:r>
        <w:t xml:space="preserve"> </w:t>
      </w:r>
      <w:r>
        <w:t xml:space="preserve">same 50 households can then be run through the simulation for every year, on the same building and</w:t>
      </w:r>
      <w:r>
        <w:t xml:space="preserve"> </w:t>
      </w:r>
      <w:r>
        <w:t xml:space="preserve">weather file. This household sample is unrelated to the day-type donor draw of Section S7. It</w:t>
      </w:r>
      <w:r>
        <w:t xml:space="preserve"> </w:t>
      </w:r>
      <w:r>
        <w:t xml:space="preserve">happens afterward, on the finished schedule files. It decides which households are simulated, not</w:t>
      </w:r>
      <w:r>
        <w:t xml:space="preserve"> </w:t>
      </w:r>
      <w:r>
        <w:t xml:space="preserve">what those households’ schedules contain.</w:t>
      </w:r>
    </w:p>
    <w:p>
      <w:pPr>
        <w:pStyle w:val="BodyText"/>
      </w:pPr>
      <w:r>
        <w:rPr>
          <w:b/>
          <w:bCs/>
        </w:rPr>
        <w:t xml:space="preserve">The sampling pool is not simply</w:t>
      </w:r>
      <w:r>
        <w:rPr>
          <w:b/>
          <w:bCs/>
        </w:rPr>
        <w:t xml:space="preserve"> </w:t>
      </w:r>
      <w:r>
        <w:rPr>
          <w:b/>
          <w:bCs/>
        </w:rPr>
        <w:t xml:space="preserve">“every household in the file.”</w:t>
      </w:r>
      <w:r>
        <w:t xml:space="preserve"> </w:t>
      </w:r>
      <w:r>
        <w:t xml:space="preserve">Before the 50-household sample</w:t>
      </w:r>
      <w:r>
        <w:t xml:space="preserve"> </w:t>
      </w:r>
      <w:r>
        <w:t xml:space="preserve">is drawn, the finished schedule file passes through a sanity check. The check looks at each</w:t>
      </w:r>
      <w:r>
        <w:t xml:space="preserve"> </w:t>
      </w:r>
      <w:r>
        <w:t xml:space="preserve">household’s 24-hour Weekday and Weekend patterns. It drops any household whose pattern looks</w:t>
      </w:r>
      <w:r>
        <w:t xml:space="preserve"> </w:t>
      </w:r>
      <w:r>
        <w:t xml:space="preserve">physically implausible. Two rules do the work. The first is a minimum of two occupied hours in a day</w:t>
      </w:r>
      <w:r>
        <w:t xml:space="preserve"> </w:t>
      </w:r>
      <w:r>
        <w:t xml:space="preserve">type. The second is a limit on how many times presence may switch on and off within the day. Only</w:t>
      </w:r>
      <w:r>
        <w:t xml:space="preserve"> </w:t>
      </w:r>
      <w:r>
        <w:t xml:space="preserve">households that pass this check are eligible to be sampled. The sampling pool therefore depends on</w:t>
      </w:r>
      <w:r>
        <w:t xml:space="preserve"> </w:t>
      </w:r>
      <w:r>
        <w:t xml:space="preserve">the exact numeric content of the schedule file, not just on which households are listed in it.</w:t>
      </w:r>
    </w:p>
    <w:p>
      <w:pPr>
        <w:pStyle w:val="BodyText"/>
      </w:pPr>
      <w:r>
        <w:rPr>
          <w:b/>
          <w:bCs/>
        </w:rPr>
        <w:t xml:space="preserve">The two-hour rule interacts with the reversion scenarios, and the direction matters.</w:t>
      </w:r>
      <w:r>
        <w:t xml:space="preserve"> </w:t>
      </w:r>
      <w:r>
        <w:t xml:space="preserve">The rule</w:t>
      </w:r>
      <w:r>
        <w:t xml:space="preserve"> </w:t>
      </w:r>
      <w:r>
        <w:t xml:space="preserve">removes households shown as occupied for less than two hours in a day type. The reversion scenarios</w:t>
      </w:r>
      <w:r>
        <w:t xml:space="preserve"> </w:t>
      </w:r>
      <w:r>
        <w:t xml:space="preserve">are precisely the ones in which time at home falls. The rule therefore preferentially removes the</w:t>
      </w:r>
      <w:r>
        <w:t xml:space="preserve"> </w:t>
      </w:r>
      <w:r>
        <w:t xml:space="preserve">households that reverted most. What remains leans very slightly toward households that reverted</w:t>
      </w:r>
      <w:r>
        <w:t xml:space="preserve"> </w:t>
      </w:r>
      <w:r>
        <w:t xml:space="preserve">least. Measured on all 144,465 households, the ordinary 2030 file already excludes 983 households</w:t>
      </w:r>
      <w:r>
        <w:t xml:space="preserve"> </w:t>
      </w:r>
      <w:r>
        <w:t xml:space="preserve">under these rules. The scenario files exclude a few more. The excess is 27 in the half-reversion</w:t>
      </w:r>
      <w:r>
        <w:t xml:space="preserve"> </w:t>
      </w:r>
      <w:r>
        <w:t xml:space="preserve">scenario, 70 in one full-reversion arm and 161 in the other. The largest excess is therefore 161</w:t>
      </w:r>
      <w:r>
        <w:t xml:space="preserve"> </w:t>
      </w:r>
      <w:r>
        <w:t xml:space="preserve">households, or 0.11% of the stock. This bounds the arithmetically possible shift in the national</w:t>
      </w:r>
      <w:r>
        <w:t xml:space="preserve"> </w:t>
      </w:r>
      <w:r>
        <w:t xml:space="preserve">at-home share at 0.11 percentage points. That bound is inside the 0.5-point tolerance set in advance,</w:t>
      </w:r>
      <w:r>
        <w:t xml:space="preserve"> </w:t>
      </w:r>
      <w:r>
        <w:t xml:space="preserve">and the realized effect is a fraction of it. The bound is nevertheless several times larger than the</w:t>
      </w:r>
      <w:r>
        <w:t xml:space="preserve"> </w:t>
      </w:r>
      <w:r>
        <w:t xml:space="preserve">margins by which the scenarios reach their design targets. Those margins are 0.005 to 0.022</w:t>
      </w:r>
      <w:r>
        <w:t xml:space="preserve"> </w:t>
      </w:r>
      <w:r>
        <w:t xml:space="preserve">percentage points.</w:t>
      </w:r>
    </w:p>
    <w:p>
      <w:pPr>
        <w:pStyle w:val="BodyText"/>
      </w:pPr>
      <w:r>
        <w:rPr>
          <w:b/>
          <w:bCs/>
        </w:rPr>
        <w:t xml:space="preserve">Consequence for the comparison with the earlier simulation campaign.</w:t>
      </w:r>
      <w:r>
        <w:t xml:space="preserve"> </w:t>
      </w:r>
      <w:r>
        <w:t xml:space="preserve">The schedule files used in</w:t>
      </w:r>
      <w:r>
        <w:t xml:space="preserve"> </w:t>
      </w:r>
      <w:r>
        <w:t xml:space="preserve">this paper are numerically close to, but not identical to, those of the authors’ earlier simulation</w:t>
      </w:r>
      <w:r>
        <w:t xml:space="preserve"> </w:t>
      </w:r>
      <w:r>
        <w:t xml:space="preserve">campaign (Section 3.6). The sanity check reads the numbers, so it can drop a slightly different set</w:t>
      </w:r>
      <w:r>
        <w:t xml:space="preserve"> </w:t>
      </w:r>
      <w:r>
        <w:t xml:space="preserve">of households from each version. This holds even though both versions cover the same 144,465</w:t>
      </w:r>
      <w:r>
        <w:t xml:space="preserve"> </w:t>
      </w:r>
      <w:r>
        <w:t xml:space="preserve">households. For single-detached houses in Montreal, the check drops 103 of 16,430 candidate</w:t>
      </w:r>
      <w:r>
        <w:t xml:space="preserve"> </w:t>
      </w:r>
      <w:r>
        <w:t xml:space="preserve">households from the 2022 file. It drops 104 from the 2030 file. This leaves a paired pool of 16,326</w:t>
      </w:r>
      <w:r>
        <w:t xml:space="preserve"> </w:t>
      </w:r>
      <w:r>
        <w:t xml:space="preserve">households, meaning households present and passing the check in both years. The same check applied</w:t>
      </w:r>
      <w:r>
        <w:t xml:space="preserve"> </w:t>
      </w:r>
      <w:r>
        <w:t xml:space="preserve">to the earlier files leaves a paired pool of 16,208. The two pools differ by 320 households, counting</w:t>
      </w:r>
      <w:r>
        <w:t xml:space="preserve"> </w:t>
      </w:r>
      <w:r>
        <w:t xml:space="preserve">households in one pool but not the other. The same fixed seed therefore draws a different</w:t>
      </w:r>
      <w:r>
        <w:t xml:space="preserve"> </w:t>
      </w:r>
      <w:r>
        <w:t xml:space="preserve">50-household sample from each pool. Each draw is deterministic and reproducible from its own files.</w:t>
      </w:r>
      <w:r>
        <w:t xml:space="preserve"> </w:t>
      </w:r>
      <w:r>
        <w:t xml:space="preserve">The two samples overlap substantially but are not identical. The comparison with the earlier</w:t>
      </w:r>
      <w:r>
        <w:t xml:space="preserve"> </w:t>
      </w:r>
      <w:r>
        <w:t xml:space="preserve">campaign is therefore not household-paired.</w:t>
      </w:r>
    </w:p>
    <w:p>
      <w:pPr>
        <w:pStyle w:val="BodyText"/>
      </w:pPr>
      <w:r>
        <w:t xml:space="preserve">Kelowna and Vancouver share one British Columbia household pool. Across all city and building-type</w:t>
      </w:r>
      <w:r>
        <w:t xml:space="preserve"> </w:t>
      </w:r>
      <w:r>
        <w:t xml:space="preserve">groups, the stock therefore holds 134,262 distinct candidate households. The check drops 918</w:t>
      </w:r>
      <w:r>
        <w:t xml:space="preserve"> </w:t>
      </w:r>
      <w:r>
        <w:t xml:space="preserve">households (0.68 percent) from the 2022 file and 921 (0.69 percent) from the 2030 file. From the</w:t>
      </w:r>
      <w:r>
        <w:t xml:space="preserve"> </w:t>
      </w:r>
      <w:r>
        <w:t xml:space="preserve">earlier files, it drops 797 (0.59 percent) and 1,043 (0.78 percent).</w:t>
      </w:r>
    </w:p>
    <w:bookmarkEnd w:id="47"/>
    <w:bookmarkStart w:id="48" w:name="Xb65e76748e377175d53240dec1904b5bf9210f2"/>
    <w:p>
      <w:pPr>
        <w:pStyle w:val="Heading2"/>
      </w:pPr>
      <w:r>
        <w:t xml:space="preserve">S9 Assembly to the full year and the reduction to hourly resolution</w:t>
      </w:r>
    </w:p>
    <w:p>
      <w:pPr>
        <w:pStyle w:val="FirstParagraph"/>
      </w:pPr>
      <w:r>
        <w:t xml:space="preserve">Each household’s finished Weekday and Weekend 24-hour profiles are written into the building energy</w:t>
      </w:r>
      <w:r>
        <w:t xml:space="preserve"> </w:t>
      </w:r>
      <w:r>
        <w:t xml:space="preserve">model as one schedule object per channel. The channels are occupancy, metabolic heat gain, and the</w:t>
      </w:r>
      <w:r>
        <w:t xml:space="preserve"> </w:t>
      </w:r>
      <w:r>
        <w:t xml:space="preserve">equipment and lighting channels added by the end-use layer. Each object carries a single calendar</w:t>
      </w:r>
      <w:r>
        <w:t xml:space="preserve"> </w:t>
      </w:r>
      <w:r>
        <w:t xml:space="preserve">block that runs from January 1 through December 31. The block has two named sub-patterns, one for</w:t>
      </w:r>
      <w:r>
        <w:t xml:space="preserve"> </w:t>
      </w:r>
      <w:r>
        <w:t xml:space="preserve">weekdays and one for weekends. The building energy model’s own calendar expands these two 24-hour</w:t>
      </w:r>
      <w:r>
        <w:t xml:space="preserve"> </w:t>
      </w:r>
      <w:r>
        <w:t xml:space="preserve">patterns into the 8,760 hourly values that the simulation runs on. This expansion is not a separate</w:t>
      </w:r>
      <w:r>
        <w:t xml:space="preserve"> </w:t>
      </w:r>
      <w:r>
        <w:t xml:space="preserve">step in this pipeline. For each calendar day of the year, the calendar looks up whether that day is a</w:t>
      </w:r>
      <w:r>
        <w:t xml:space="preserve"> </w:t>
      </w:r>
      <w:r>
        <w:t xml:space="preserve">weekday or a weekend day. It uses the ordinary Monday-through-Sunday calendar. It then repeats the</w:t>
      </w:r>
      <w:r>
        <w:t xml:space="preserve"> </w:t>
      </w:r>
      <w:r>
        <w:t xml:space="preserve">matching 24-hour pattern for that day. No holidays are distinguished, because the weather files used</w:t>
      </w:r>
      <w:r>
        <w:t xml:space="preserve"> </w:t>
      </w:r>
      <w:r>
        <w:t xml:space="preserve">carry none. Two artificial sizing days are used to size the building’s heating and cooling</w:t>
      </w:r>
      <w:r>
        <w:t xml:space="preserve"> </w:t>
      </w:r>
      <w:r>
        <w:t xml:space="preserve">equipment. They are forced onto the weekday pattern. Equipment sizing is therefore based on the</w:t>
      </w:r>
      <w:r>
        <w:t xml:space="preserve"> </w:t>
      </w:r>
      <w:r>
        <w:t xml:space="preserve">busier of the two profiles rather than a fixed separate assumption.</w:t>
      </w:r>
    </w:p>
    <w:p>
      <w:pPr>
        <w:pStyle w:val="BodyText"/>
      </w:pPr>
      <w:r>
        <w:t xml:space="preserve">The schedule is never handed to the building energy model at its original 30-minute diary</w:t>
      </w:r>
      <w:r>
        <w:t xml:space="preserve"> </w:t>
      </w:r>
      <w:r>
        <w:t xml:space="preserve">resolution. Only the hourly reduction from Section S5 is presented at this stage. The finest temporal</w:t>
      </w:r>
      <w:r>
        <w:t xml:space="preserve"> </w:t>
      </w:r>
      <w:r>
        <w:t xml:space="preserve">detail the building simulation ever sees for occupancy, internal heat gain, plug loads or lighting is</w:t>
      </w:r>
      <w:r>
        <w:t xml:space="preserve"> </w:t>
      </w:r>
      <w:r>
        <w:t xml:space="preserve">therefore one value per hour. That value is for one of two day types per household, expanded to a</w:t>
      </w:r>
      <w:r>
        <w:t xml:space="preserve"> </w:t>
      </w:r>
      <w:r>
        <w:t xml:space="preserve">full year by the calendar rule above.</w:t>
      </w:r>
    </w:p>
    <w:bookmarkEnd w:id="48"/>
    <w:bookmarkStart w:id="49" w:name="Xeaada7eb3503630448ddc8035439d396a4f9eb6"/>
    <w:p>
      <w:pPr>
        <w:pStyle w:val="Heading2"/>
      </w:pPr>
      <w:r>
        <w:t xml:space="preserve">S10 Does household clustering change the reported uncertainty?</w:t>
      </w:r>
    </w:p>
    <w:p>
      <w:pPr>
        <w:pStyle w:val="FirstParagraph"/>
      </w:pPr>
      <w:r>
        <w:t xml:space="preserve">The paired-difference interval of Section 2.6 (Eq. 5) pools every household’s 2022-to-2030 change.</w:t>
      </w:r>
      <w:r>
        <w:t xml:space="preserve"> </w:t>
      </w:r>
      <w:r>
        <w:t xml:space="preserve">It treats each change as an independent observation. In principle, households sharing a city or an</w:t>
      </w:r>
      <w:r>
        <w:t xml:space="preserve"> </w:t>
      </w:r>
      <w:r>
        <w:t xml:space="preserve">archetype are not independent. A cluster bootstrap was therefore run for comparison. The 24</w:t>
      </w:r>
      <w:r>
        <w:t xml:space="preserve"> </w:t>
      </w:r>
      <w:r>
        <w:t xml:space="preserve">(archetype, city) cells are resampled with replacement: 24 drawn from 24, repeats allowed. Each drawn</w:t>
      </w:r>
      <w:r>
        <w:t xml:space="preserve"> </w:t>
      </w:r>
      <w:r>
        <w:t xml:space="preserve">cell keeps its own paired household deltas intact. There is no resampling within a cell, since the</w:t>
      </w:r>
      <w:r>
        <w:t xml:space="preserve"> </w:t>
      </w:r>
      <w:r>
        <w:t xml:space="preserve">cell is itself the resampling unit. The pooled mean is recomputed over 10,000 replicates (fixed seed</w:t>
      </w:r>
      <w:r>
        <w:t xml:space="preserve"> </w:t>
      </w:r>
      <w:r>
        <w:t xml:space="preserve">12345) to build a percentile interval.</w:t>
      </w:r>
    </w:p>
    <w:p>
      <w:pPr>
        <w:pStyle w:val="BodyText"/>
      </w:pPr>
      <w:r>
        <w:t xml:space="preserve">Both methods were applied to the paired 2022 and 2030 simulation results. These cover 24 cells of 50</w:t>
      </w:r>
      <w:r>
        <w:t xml:space="preserve"> </w:t>
      </w:r>
      <w:r>
        <w:t xml:space="preserve">households, or 2,400 households. Table S3 gives the intervals from the two methods. All values in</w:t>
      </w:r>
      <w:r>
        <w:t xml:space="preserve"> </w:t>
      </w:r>
      <w:r>
        <w:t xml:space="preserve">Table S3 are fractions; multiply by 100 for percentage points.</w:t>
      </w:r>
    </w:p>
    <w:p>
      <w:pPr>
        <w:pStyle w:val="BodyText"/>
        <w:keepNext/>
        <w:jc w:val="center"/>
      </w:pPr>
      <w:r>
        <w:rPr>
          <w:b/>
          <w:bCs/>
        </w:rPr>
        <w:t xml:space="preserve">Table S3.</w:t>
      </w:r>
      <w:r>
        <w:t xml:space="preserve"> </w:t>
      </w:r>
      <w:r>
        <w:t xml:space="preserve">Clustering-aware versus plain paired-difference confidence intervals for midday share and load factor.</w:t>
      </w:r>
    </w:p>
    <w:tbl>
      <w:tblPr>
        <w:tblStyle w:val="Table"/>
        <w:tblW w:type="pct" w:w="5000"/>
        <w:tblLayout w:type="fixed"/>
        <w:tblCellMar>
          <w:left w:w="72" w:type="dxa"/>
          <w:right w:w="72" w:type="dxa"/>
        </w:tblCellMar>
        <w:tblLook w:firstRow="1" w:lastRow="0" w:firstColumn="0" w:lastColumn="0" w:noHBand="0" w:noVBand="0" w:val="0020"/>
      </w:tblPr>
      <w:tblGrid>
        <w:gridCol w:w="1484"/>
        <w:gridCol w:w="2711"/>
        <w:gridCol w:w="903"/>
        <w:gridCol w:w="2323"/>
        <w:gridCol w:w="903"/>
        <w:gridCol w:w="1036"/>
      </w:tblGrid>
      <w:tr>
        <w:trPr>
          <w:tblHeader w:val="on"/>
        </w:trPr>
        <w:tc>
          <w:tcPr>
            <w:tcW w:w="148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Metric</w:t>
            </w:r>
          </w:p>
        </w:tc>
        <w:tc>
          <w:tcPr>
            <w:tcW w:w="2711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Point</w:t>
            </w:r>
          </w:p>
        </w:tc>
        <w:tc>
          <w:tcPr>
            <w:tcW w:w="232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95% interval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Width</w:t>
            </w:r>
          </w:p>
        </w:tc>
        <w:tc>
          <w:tcPr>
            <w:tcW w:w="103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Change from plain interval</w:t>
            </w:r>
          </w:p>
        </w:tc>
      </w:tr>
      <w:tr>
        <w:tc>
          <w:tcPr>
            <w:tcW w:w="148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Midday share</w:t>
            </w:r>
          </w:p>
        </w:tc>
        <w:tc>
          <w:tcPr>
            <w:tcW w:w="2711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Plain pooled (Eq. 5)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0.00732</w:t>
            </w:r>
          </w:p>
        </w:tc>
        <w:tc>
          <w:tcPr>
            <w:tcW w:w="232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[0.00645, 0.00819]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0.00174</w:t>
            </w:r>
          </w:p>
        </w:tc>
        <w:tc>
          <w:tcPr>
            <w:tcW w:w="103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w="148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Midday share</w:t>
            </w:r>
          </w:p>
        </w:tc>
        <w:tc>
          <w:tcPr>
            <w:tcW w:w="2711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Cell-cluster bootstrap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0.00732</w:t>
            </w:r>
          </w:p>
        </w:tc>
        <w:tc>
          <w:tcPr>
            <w:tcW w:w="232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[0.00616, 0.00859]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0.00243</w:t>
            </w:r>
          </w:p>
        </w:tc>
        <w:tc>
          <w:tcPr>
            <w:tcW w:w="103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39.8% wider</w:t>
            </w:r>
          </w:p>
        </w:tc>
      </w:tr>
      <w:tr>
        <w:tc>
          <w:tcPr>
            <w:tcW w:w="148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Load factor</w:t>
            </w:r>
          </w:p>
        </w:tc>
        <w:tc>
          <w:tcPr>
            <w:tcW w:w="2711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Plain pooled (Eq. 5)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0.00494</w:t>
            </w:r>
          </w:p>
        </w:tc>
        <w:tc>
          <w:tcPr>
            <w:tcW w:w="232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[0.00412, 0.00577]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0.00165</w:t>
            </w:r>
          </w:p>
        </w:tc>
        <w:tc>
          <w:tcPr>
            <w:tcW w:w="103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w="1484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Load factor</w:t>
            </w:r>
          </w:p>
        </w:tc>
        <w:tc>
          <w:tcPr>
            <w:tcW w:w="2711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Cell-cluster bootstrap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0.00494</w:t>
            </w:r>
          </w:p>
        </w:tc>
        <w:tc>
          <w:tcPr>
            <w:tcW w:w="232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[0.00413, 0.00574]</w:t>
            </w:r>
          </w:p>
        </w:tc>
        <w:tc>
          <w:tcPr>
            <w:tcW w:w="903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0.00161</w:t>
            </w:r>
          </w:p>
        </w:tc>
        <w:tc>
          <w:tcPr>
            <w:tcW w:w="1036" w:type="dxa"/>
          </w:tcPr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2.3% narrower</w:t>
            </w:r>
          </w:p>
        </w:tc>
      </w:tr>
    </w:tbl>
    <w:p>
      <w:pPr>
        <w:pStyle w:val="BodyText"/>
      </w:pPr>
      <w:r>
        <w:t xml:space="preserve">For midday share, accounting for clustering by city and archetype widens the interval by about</w:t>
      </w:r>
      <w:r>
        <w:t xml:space="preserve"> </w:t>
      </w:r>
      <w:r>
        <w:t xml:space="preserve">two-fifths. The interval still excludes zero, so the 2022 to 2030 change remains distinguishable from</w:t>
      </w:r>
      <w:r>
        <w:t xml:space="preserve"> </w:t>
      </w:r>
      <w:r>
        <w:t xml:space="preserve">zero. The main text therefore reports the wider, clustering-aware interval for this metric. For load</w:t>
      </w:r>
      <w:r>
        <w:t xml:space="preserve"> </w:t>
      </w:r>
      <w:r>
        <w:t xml:space="preserve">factor, clustering makes almost no difference. The interval is 2.3 percent narrower, which is within</w:t>
      </w:r>
      <w:r>
        <w:t xml:space="preserve"> </w:t>
      </w:r>
      <w:r>
        <w:t xml:space="preserve">the bootstrap’s own replicate-to-replicate variation. The plain pooled interval is therefore</w:t>
      </w:r>
      <w:r>
        <w:t xml:space="preserve"> </w:t>
      </w:r>
      <w:r>
        <w:t xml:space="preserve">adequate. Neither interval crosses zero under either method.</w:t>
      </w:r>
    </w:p>
    <w:bookmarkEnd w:id="49"/>
    <w:bookmarkStart w:id="56" w:name="s11-supplementary-figures"/>
    <w:p>
      <w:pPr>
        <w:pStyle w:val="Heading2"/>
      </w:pPr>
      <w:r>
        <w:t xml:space="preserve">S11 Supplementary figures</w:t>
      </w:r>
    </w:p>
    <w:p>
      <w:pPr>
        <w:pStyle w:val="FirstParagraph"/>
      </w:pPr>
      <w:r>
        <w:t xml:space="preserve">Figure S1 shows how the uncertainty of the 2022 to 2030 change depends on sample size. It plots the</w:t>
      </w:r>
      <w:r>
        <w:t xml:space="preserve"> </w:t>
      </w:r>
      <w:r>
        <w:t xml:space="preserve">half-width of the 95 percent confidence interval against sample size for six load-shape and energy</w:t>
      </w:r>
      <w:r>
        <w:t xml:space="preserve"> </w:t>
      </w:r>
      <w:r>
        <w:t xml:space="preserve">metrics. It covers the four archetype cells in Montreal (climate zone 6A). Sample sizes are 10, 20,</w:t>
      </w:r>
      <w:r>
        <w:t xml:space="preserve"> </w:t>
      </w:r>
      <w:r>
        <w:t xml:space="preserve">50, 100, 150 and 200 households. Below 200 households, the half-width is the 2.5th to 97.5th</w:t>
      </w:r>
      <w:r>
        <w:t xml:space="preserve"> </w:t>
      </w:r>
      <w:r>
        <w:t xml:space="preserve">percentile spread of 1,000 bootstrap subsample means. These means are drawn from the same</w:t>
      </w:r>
      <w:r>
        <w:t xml:space="preserve"> </w:t>
      </w:r>
      <w:r>
        <w:t xml:space="preserve">200-household set. At 200 households (stars), the half-width is a parametric interval on the full</w:t>
      </w:r>
      <w:r>
        <w:t xml:space="preserve"> </w:t>
      </w:r>
      <w:r>
        <w:t xml:space="preserve">sample. This is a different statistic, which is why the stars sit above the 150-household points.</w:t>
      </w:r>
    </w:p>
    <w:p>
      <w:pPr>
        <w:pStyle w:val="BodyText"/>
        <w:keepNext/>
        <w:jc w:val="center"/>
      </w:pPr>
      <w:r>
        <w:drawing>
          <wp:inline>
            <wp:extent cx="5334000" cy="328333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./impl/T94_out/figS1_sample_siz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S1.</w:t>
      </w:r>
      <w:r>
        <w:t xml:space="preserve"> </w:t>
      </w:r>
      <w:r>
        <w:t xml:space="preserve">Confidence-interval half-width of the 2022 to 2030 change against sample size.</w:t>
      </w:r>
    </w:p>
    <w:p>
      <w:pPr>
        <w:pStyle w:val="BodyText"/>
      </w:pPr>
      <w:r>
        <w:t xml:space="preserve">Figure S2 shows how stable the model selection is when the selection thresholds change (Section S2).</w:t>
      </w:r>
      <w:r>
        <w:t xml:space="preserve"> </w:t>
      </w:r>
      <w:r>
        <w:t xml:space="preserve">Each panel shifts one threshold, or all four together, by minus 20, minus 10, plus 10 and plus 20</w:t>
      </w:r>
      <w:r>
        <w:t xml:space="preserve"> </w:t>
      </w:r>
      <w:r>
        <w:t xml:space="preserve">percent. This gives 21 distinct scenarios, including the original thresholds at 0 percent. The y-axis</w:t>
      </w:r>
      <w:r>
        <w:t xml:space="preserve"> </w:t>
      </w:r>
      <w:r>
        <w:t xml:space="preserve">gives the number of candidates that meet all four checks. The marker shows which candidate is</w:t>
      </w:r>
      <w:r>
        <w:t xml:space="preserve"> </w:t>
      </w:r>
      <w:r>
        <w:t xml:space="preserve">selected. This is the candidate with the lowest composite score among those that meet all four</w:t>
      </w:r>
      <w:r>
        <w:t xml:space="preserve"> </w:t>
      </w:r>
      <w:r>
        <w:t xml:space="preserve">checks. The chosen model is selected in 19 of the 21 scenarios. The exceptions are a 20 percent</w:t>
      </w:r>
      <w:r>
        <w:t xml:space="preserve"> </w:t>
      </w:r>
      <w:r>
        <w:t xml:space="preserve">tightening of the at-home error threshold, alone or with the other three. In those scenarios, only</w:t>
      </w:r>
      <w:r>
        <w:t xml:space="preserve"> </w:t>
      </w:r>
      <w:r>
        <w:t xml:space="preserve">one other candidate meets all four checks.</w:t>
      </w:r>
    </w:p>
    <w:p>
      <w:pPr>
        <w:pStyle w:val="BodyText"/>
        <w:keepNext/>
        <w:jc w:val="center"/>
      </w:pPr>
      <w:r>
        <w:drawing>
          <wp:inline>
            <wp:extent cx="5334000" cy="328508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./impl/T94_out/figS2_threshold_sensitivit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</w:rPr>
        <w:t xml:space="preserve">Figure S2.</w:t>
      </w:r>
      <w:r>
        <w:t xml:space="preserve"> </w:t>
      </w:r>
      <w:r>
        <w:t xml:space="preserve">Stability of model selection when the selection thresholds change.</w:t>
      </w:r>
    </w:p>
    <w:bookmarkEnd w:id="56"/>
    <w:bookmarkEnd w:id="57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b/>
      <w:bCs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2026-09-28T19:40:10Z</dcterms:created>
  <dcterms:modified xsi:type="dcterms:W3CDTF">2026-09-28T19:40:10Z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