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0.png" ContentType="image/png"/>
  <Override PartName="/word/media/rId72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90.png" ContentType="image/png"/>
  <Override PartName="/word/media/rId67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8bdb16f5705f0cc39cb50c21b0cefc4fb05c1f7"/>
    <w:p>
      <w:pPr>
        <w:pStyle w:val="Heading1"/>
      </w:pPr>
      <w:r>
        <w:t xml:space="preserve">From</w:t>
      </w:r>
      <w:r>
        <w:t xml:space="preserve"> </w:t>
      </w:r>
      <w:r>
        <w:t xml:space="preserve">“How Much”</w:t>
      </w:r>
      <w:r>
        <w:t xml:space="preserve"> </w:t>
      </w:r>
      <w:r>
        <w:t xml:space="preserve">to</w:t>
      </w:r>
      <w:r>
        <w:t xml:space="preserve"> </w:t>
      </w:r>
      <w:r>
        <w:t xml:space="preserve">“When”</w:t>
      </w:r>
      <w:r>
        <w:t xml:space="preserve">: Forecasting the Residential Energy Load Shape from a Calibrated Behavioural Occupancy Time-Series (Canada, 2005–2030)</w:t>
      </w:r>
    </w:p>
    <w:bookmarkEnd w:id="40"/>
    <w:bookmarkStart w:id="4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Static, deterministic occupancy schedules in residential building energy simulation miss the timing of</w:t>
      </w:r>
      <w:r>
        <w:t xml:space="preserve"> </w:t>
      </w:r>
      <w:r>
        <w:t xml:space="preserve">demand, not only its annual total, and occupant behaviour became non-stationary through the COVID-19</w:t>
      </w:r>
      <w:r>
        <w:t xml:space="preserve"> </w:t>
      </w:r>
      <w:r>
        <w:t xml:space="preserve">pandemic, so the future load shape needs an explicit, stated persistence assumption rather than a single</w:t>
      </w:r>
      <w:r>
        <w:t xml:space="preserve"> </w:t>
      </w:r>
      <w:r>
        <w:t xml:space="preserve">prediction. This study builds a household-level, survey-based occupancy model for the Canadian housing</w:t>
      </w:r>
      <w:r>
        <w:t xml:space="preserve"> </w:t>
      </w:r>
      <w:r>
        <w:t xml:space="preserve">stock, checked on a held-out survey year, and carries it into paired, stock-scale building energy</w:t>
      </w:r>
      <w:r>
        <w:t xml:space="preserve"> </w:t>
      </w:r>
      <w:r>
        <w:t xml:space="preserve">simulation across several dwelling archetypes and climate zones, comparing 2022 against four stated 2030</w:t>
      </w:r>
      <w:r>
        <w:t xml:space="preserve"> </w:t>
      </w:r>
      <w:r>
        <w:t xml:space="preserve">scenarios: main persistence, partial persistence, full reversion, and a standardized-reversion check.</w:t>
      </w:r>
      <w:r>
        <w:t xml:space="preserve"> </w:t>
      </w:r>
      <w:r>
        <w:t xml:space="preserve">The household-level model is also compared against a simpler average-profile method on the same</w:t>
      </w:r>
      <w:r>
        <w:t xml:space="preserve"> </w:t>
      </w:r>
      <w:r>
        <w:t xml:space="preserve">households, and the simulated load shape is checked, not validated, against a year of measured Toronto</w:t>
      </w:r>
      <w:r>
        <w:t xml:space="preserve"> </w:t>
      </w:r>
      <w:r>
        <w:t xml:space="preserve">and Ontario electricity data. In 2022 the weekday at-home rate sits 4.73 percentage points</w:t>
      </w:r>
      <w:r>
        <w:t xml:space="preserve"> </w:t>
      </w:r>
      <w:r>
        <w:t xml:space="preserve">above its 2005-to-2015 trend. Under the main 2030 scenario, annual electricity is nearly</w:t>
      </w:r>
      <w:r>
        <w:t xml:space="preserve"> </w:t>
      </w:r>
      <w:r>
        <w:t xml:space="preserve">flat, rising 0.12 percent, while midday share rises 0.73 and load factor rises 0.49 percentage points,</w:t>
      </w:r>
      <w:r>
        <w:t xml:space="preserve"> </w:t>
      </w:r>
      <w:r>
        <w:t xml:space="preserve">both real changes. The scenario spread is real: full reversion falls 0.12 percent and the</w:t>
      </w:r>
      <w:r>
        <w:t xml:space="preserve"> </w:t>
      </w:r>
      <w:r>
        <w:t xml:space="preserve">standardized-reversion check falls 0.44 percent, while partial persistence is not distinguishable from</w:t>
      </w:r>
      <w:r>
        <w:t xml:space="preserve"> </w:t>
      </w:r>
      <w:r>
        <w:t xml:space="preserve">zero. The average-profile method shifts the annual total by about 9 percent in one cell but collapses</w:t>
      </w:r>
      <w:r>
        <w:t xml:space="preserve"> </w:t>
      </w:r>
      <w:r>
        <w:t xml:space="preserve">household-to-household peak-timing diversity almost to zero, diversity only the household-level model preserves. For</w:t>
      </w:r>
      <w:r>
        <w:t xml:space="preserve"> </w:t>
      </w:r>
      <w:r>
        <w:t xml:space="preserve">grid planning, this shift is mainly a timing question, not a sizing one: annual demand changes little,</w:t>
      </w:r>
      <w:r>
        <w:t xml:space="preserve"> </w:t>
      </w:r>
      <w:r>
        <w:t xml:space="preserve">but when it is delivered does.</w:t>
      </w:r>
    </w:p>
    <w:bookmarkEnd w:id="41"/>
    <w:bookmarkStart w:id="42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Annual electricity nearly flat (0.12 percent) as midday share and load factor rise.</w:t>
      </w:r>
    </w:p>
    <w:p>
      <w:pPr>
        <w:pStyle w:val="Compact"/>
        <w:numPr>
          <w:ilvl w:val="0"/>
          <w:numId w:val="1001"/>
        </w:numPr>
      </w:pPr>
      <w:r>
        <w:t xml:space="preserve">Reversion scenarios fall 0.12 to 0.44 percent; partial persistence is not detectable.</w:t>
      </w:r>
    </w:p>
    <w:p>
      <w:pPr>
        <w:pStyle w:val="Compact"/>
        <w:numPr>
          <w:ilvl w:val="0"/>
          <w:numId w:val="1001"/>
        </w:numPr>
      </w:pPr>
      <w:r>
        <w:t xml:space="preserve">2022 weekday at-home rate sits 4.73 percentage points above the 2005-to-2015 trend.</w:t>
      </w:r>
    </w:p>
    <w:p>
      <w:pPr>
        <w:pStyle w:val="Compact"/>
        <w:numPr>
          <w:ilvl w:val="0"/>
          <w:numId w:val="1001"/>
        </w:numPr>
      </w:pPr>
      <w:r>
        <w:t xml:space="preserve">Household model keeps peak-timing diversity an average-profile method erases.</w:t>
      </w:r>
    </w:p>
    <w:p>
      <w:pPr>
        <w:pStyle w:val="Compact"/>
        <w:numPr>
          <w:ilvl w:val="0"/>
          <w:numId w:val="1001"/>
        </w:numPr>
      </w:pPr>
      <w:r>
        <w:t xml:space="preserve">Load shape checked, not validated, against measured Toronto/Ontario 2022 data.</w:t>
      </w:r>
    </w:p>
    <w:bookmarkEnd w:id="42"/>
    <w:bookmarkStart w:id="43" w:name="keywords"/>
    <w:p>
      <w:pPr>
        <w:pStyle w:val="Heading1"/>
      </w:pPr>
      <w:r>
        <w:t xml:space="preserve">Keywords</w:t>
      </w:r>
    </w:p>
    <w:p>
      <w:pPr>
        <w:pStyle w:val="FirstParagraph"/>
      </w:pPr>
      <w:r>
        <w:t xml:space="preserve">Residential occupancy modelling; time-use survey data; stock-scale building energy simulation;</w:t>
      </w:r>
      <w:r>
        <w:t xml:space="preserve"> </w:t>
      </w:r>
      <w:r>
        <w:t xml:space="preserve">work-from-home scenarios; residential load shape; peak demand and load factor; Canadian housing stock.</w:t>
      </w:r>
    </w:p>
    <w:bookmarkEnd w:id="43"/>
    <w:bookmarkStart w:id="49" w:name="introduction"/>
    <w:p>
      <w:pPr>
        <w:pStyle w:val="Heading1"/>
      </w:pPr>
      <w:r>
        <w:t xml:space="preserve">1. Introduction</w:t>
      </w:r>
    </w:p>
    <w:bookmarkStart w:id="44" w:name="Xacac2cf3bf5a8698809448833617ed6ab40d86e"/>
    <w:p>
      <w:pPr>
        <w:pStyle w:val="Heading2"/>
      </w:pPr>
      <w:r>
        <w:t xml:space="preserve">1.1 The performance gap and static occupancy schedules</w:t>
      </w:r>
    </w:p>
    <w:p>
      <w:pPr>
        <w:pStyle w:val="FirstParagraph"/>
      </w:pPr>
      <w:r>
        <w:t xml:space="preserve">The persistent gap between predicted and measured building energy use, the performance gap, remains a</w:t>
      </w:r>
      <w:r>
        <w:t xml:space="preserve"> </w:t>
      </w:r>
      <w:r>
        <w:t xml:space="preserve">central credibility problem for building performance simulation (de Wilde 2014); occupant behaviour is</w:t>
      </w:r>
      <w:r>
        <w:t xml:space="preserve"> </w:t>
      </w:r>
      <w:r>
        <w:t xml:space="preserve">now the largest identified unexplained driver (Yan et al. 2015; Hong et al. 2017), taken up directly by</w:t>
      </w:r>
      <w:r>
        <w:t xml:space="preserve"> </w:t>
      </w:r>
      <w:r>
        <w:t xml:space="preserve">IEA EBC Annex 66 and its successor Annex 79 (Yan et al. 2017; O’Brien et al. 2020). Routine practice</w:t>
      </w:r>
      <w:r>
        <w:t xml:space="preserve"> </w:t>
      </w:r>
      <w:r>
        <w:t xml:space="preserve">still relies on static, deterministic occupancy schedules drawn from reference standards, a poor fit</w:t>
      </w:r>
      <w:r>
        <w:t xml:space="preserve"> </w:t>
      </w:r>
      <w:r>
        <w:t xml:space="preserve">for residential buildings, where daily life follows individual routines rather than regulated</w:t>
      </w:r>
      <w:r>
        <w:t xml:space="preserve"> </w:t>
      </w:r>
      <w:r>
        <w:t xml:space="preserve">operation (Mahdavi et al. 2021). Fixed schedules miss day-to-day behavioural variability (Wilke, Haldi</w:t>
      </w:r>
      <w:r>
        <w:t xml:space="preserve"> </w:t>
      </w:r>
      <w:r>
        <w:t xml:space="preserve">and Robinson 2011; Elsayed et al. 2023): survey-derived occupancy profiles differ from standard</w:t>
      </w:r>
      <w:r>
        <w:t xml:space="preserve"> </w:t>
      </w:r>
      <w:r>
        <w:t xml:space="preserve">schedules by up to 41 percent at individual hours, a timing discrepancy, not an annual-energy one</w:t>
      </w:r>
      <w:r>
        <w:t xml:space="preserve"> </w:t>
      </w:r>
      <w:r>
        <w:t xml:space="preserve">(Mitra et al. 2020). Static schedules therefore carry a timing error an annual-total comparison cannot</w:t>
      </w:r>
      <w:r>
        <w:t xml:space="preserve"> </w:t>
      </w:r>
      <w:r>
        <w:t xml:space="preserve">reveal.</w:t>
      </w:r>
    </w:p>
    <w:p>
      <w:pPr>
        <w:pStyle w:val="BodyText"/>
      </w:pPr>
      <w:r>
        <w:t xml:space="preserve">Timing matters because a home’s daily load shape, not only its yearly sum, sets its contribution to</w:t>
      </w:r>
      <w:r>
        <w:t xml:space="preserve"> </w:t>
      </w:r>
      <w:r>
        <w:t xml:space="preserve">grid peak demand, the evening ramp, and demand-response suitability (Denholm et al. 2015). This study uses</w:t>
      </w:r>
      <w:r>
        <w:t xml:space="preserve"> </w:t>
      </w:r>
      <w:r>
        <w:t xml:space="preserve">2030 as its scenario horizon because it sits beyond the latest available survey data, requiring an</w:t>
      </w:r>
      <w:r>
        <w:t xml:space="preserve"> </w:t>
      </w:r>
      <w:r>
        <w:t xml:space="preserve">explicit assumption about how far the pandemic-era change has settled or receded, and because 2030 is</w:t>
      </w:r>
      <w:r>
        <w:t xml:space="preserve"> </w:t>
      </w:r>
      <w:r>
        <w:t xml:space="preserve">a commonly used planning horizon (IEA 2021); the Canadian time-use survey runs roughly every five</w:t>
      </w:r>
      <w:r>
        <w:t xml:space="preserve"> </w:t>
      </w:r>
      <w:r>
        <w:t xml:space="preserve">years, and no cycle after 2022 has been announced (Statistics Canada 2024a).</w:t>
      </w:r>
    </w:p>
    <w:bookmarkEnd w:id="44"/>
    <w:bookmarkStart w:id="45" w:name="X9d743bc82f969421f40f67201f0543fd2ae5969"/>
    <w:p>
      <w:pPr>
        <w:pStyle w:val="Heading2"/>
      </w:pPr>
      <w:r>
        <w:t xml:space="preserve">1.2 Two research tracks and the gap they leave open</w:t>
      </w:r>
    </w:p>
    <w:p>
      <w:pPr>
        <w:pStyle w:val="FirstParagraph"/>
      </w:pPr>
      <w:r>
        <w:t xml:space="preserve">Two research traditions address occupancy in building energy modelling and rarely meet. The first</w:t>
      </w:r>
      <w:r>
        <w:t xml:space="preserve"> </w:t>
      </w:r>
      <w:r>
        <w:t xml:space="preserve">builds high-fidelity stochastic occupant models, applied mostly to single buildings and already-elapsed</w:t>
      </w:r>
      <w:r>
        <w:t xml:space="preserve"> </w:t>
      </w:r>
      <w:r>
        <w:t xml:space="preserve">periods (Richardson, Thomson and Infield 2008; Widén and Wäckelgård 2010; Wilke et al. 2013; Aerts et</w:t>
      </w:r>
      <w:r>
        <w:t xml:space="preserve"> </w:t>
      </w:r>
      <w:r>
        <w:t xml:space="preserve">al. 2014), including a growing Canadian strand (Armstrong et al. 2009; Osman and Ouf 2021; Osman et</w:t>
      </w:r>
      <w:r>
        <w:t xml:space="preserve"> </w:t>
      </w:r>
      <w:r>
        <w:t xml:space="preserve">al. 2023; Ferreira et al. 2024). The second runs stock- and urban-scale energy engines across</w:t>
      </w:r>
      <w:r>
        <w:t xml:space="preserve"> </w:t>
      </w:r>
      <w:r>
        <w:t xml:space="preserve">thousands of dwellings but feeds them simplified, single-period schedules (Reinhart and Cerezo Davila</w:t>
      </w:r>
      <w:r>
        <w:t xml:space="preserve"> </w:t>
      </w:r>
      <w:r>
        <w:t xml:space="preserve">2016); Chen et al. (2022)’s paired stock-scale design is the closest precedent to this study.</w:t>
      </w:r>
    </w:p>
    <w:p>
      <w:pPr>
        <w:pStyle w:val="BodyText"/>
      </w:pPr>
      <w:r>
        <w:t xml:space="preserve">Table 1 scores nine external studies and the authors’ own prior work against six framework dimensions</w:t>
      </w:r>
      <w:r>
        <w:t xml:space="preserve"> </w:t>
      </w:r>
      <w:r>
        <w:t xml:space="preserve">(C1 to C6), present, absent or partial, by the written criterion given below the table, not an</w:t>
      </w:r>
      <w:r>
        <w:t xml:space="preserve"> </w:t>
      </w:r>
      <w:r>
        <w:t xml:space="preserve">unstated judgement call.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Framework dimensions: external competitors, the authors’ own prior work, and this study.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64"/>
        <w:gridCol w:w="962"/>
        <w:gridCol w:w="1036"/>
        <w:gridCol w:w="962"/>
        <w:gridCol w:w="814"/>
        <w:gridCol w:w="740"/>
        <w:gridCol w:w="740"/>
      </w:tblGrid>
      <w:tr>
        <w:trPr>
          <w:tblHeader w:val="on"/>
        </w:trP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Study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C1 Time-series occupancy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C2 Calibrated model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C3 Future-year scenario (pandemic break)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C4 Activity/end-use resolved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C5 Stock-scale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C6 Load-shape/peak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Chiou et al. (2011)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Widén and Wäckelgård (2010)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Reinhart and Cerezo Davila (2016)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Fischer et al. (2020)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Motuzienė et al. (2022)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 (footnote c)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Chen et al. (2022, ResStock)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Osman et al. (2023, Canada)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Yin et al. (2024)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Jalilian and Kamel (2025)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Authors’ own prior line: companion journal manuscript, under review, and companion conference study (Iseri and Hachem-Vermette 2026)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cross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P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</w:rPr>
              <w:t xml:space="preserve">P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  <w:b/>
                <w:bCs/>
              </w:rPr>
              <w:t xml:space="preserve">This study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check</w:t>
            </w:r>
          </w:p>
        </w:tc>
      </w:tr>
    </w:tbl>
    <w:p>
      <w:pPr>
        <w:pStyle w:val="BodyText"/>
      </w:pPr>
      <w:r>
        <w:t xml:space="preserve">Column criteria (one footnote per column):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C1.</w:t>
      </w:r>
      <w:r>
        <w:t xml:space="preserve"> </w:t>
      </w:r>
      <w:r>
        <w:t xml:space="preserve">Present when occupancy varies within the day, not only as one daily or annual value.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C2.</w:t>
      </w:r>
      <w:r>
        <w:t xml:space="preserve"> </w:t>
      </w:r>
      <w:r>
        <w:t xml:space="preserve">Present when parameters are fitted or checked against measured or surveyed data. Chiou et</w:t>
      </w:r>
      <w:r>
        <w:t xml:space="preserve"> </w:t>
      </w:r>
      <w:r>
        <w:t xml:space="preserve">al. (2011) derives loads directly from diaries with no fitted model (absent); Yin et al. (2024) fits</w:t>
      </w:r>
      <w:r>
        <w:t xml:space="preserve"> </w:t>
      </w:r>
      <w:r>
        <w:t xml:space="preserve">trend statistics to four decades of survey cycles (present, despite no simulation).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C3.</w:t>
      </w:r>
      <w:r>
        <w:t xml:space="preserve"> </w:t>
      </w:r>
      <w:r>
        <w:t xml:space="preserve">Present only when the study projects to a stated year beyond its own data window. Motuzienė</w:t>
      </w:r>
      <w:r>
        <w:t xml:space="preserve"> </w:t>
      </w:r>
      <w:r>
        <w:t xml:space="preserve">et al. (2022) predicts short-horizon pandemic occupancy, not a future year, so C3 is absent here</w:t>
      </w:r>
      <w:r>
        <w:t xml:space="preserve"> </w:t>
      </w:r>
      <w:r>
        <w:t xml:space="preserve">(corrected from present in the archived table).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C4.</w:t>
      </w:r>
      <w:r>
        <w:t xml:space="preserve"> </w:t>
      </w:r>
      <w:r>
        <w:t xml:space="preserve">Present when the model distinguishes specific activities, or the equipment and lighting</w:t>
      </w:r>
      <w:r>
        <w:t xml:space="preserve"> </w:t>
      </w:r>
      <w:r>
        <w:t xml:space="preserve">loads they imply, not one presence indicator or total.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C5.</w:t>
      </w:r>
      <w:r>
        <w:t xml:space="preserve"> </w:t>
      </w:r>
      <w:r>
        <w:t xml:space="preserve">Present when the study aggregates across many dwellings, not one or a few.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C6.</w:t>
      </w:r>
      <w:r>
        <w:t xml:space="preserve"> </w:t>
      </w:r>
      <w:r>
        <w:t xml:space="preserve">Present when the study reports the sub-daily load curve or its peak, not only totals.</w:t>
      </w:r>
    </w:p>
    <w:p>
      <w:pPr>
        <w:pStyle w:val="FirstParagraph"/>
      </w:pPr>
      <w:r>
        <w:t xml:space="preserve">Chen et al. (2022) is the strongest external precedent, sharing five of six dimensions; the one it</w:t>
      </w:r>
      <w:r>
        <w:t xml:space="preserve"> </w:t>
      </w:r>
      <w:r>
        <w:t xml:space="preserve">lacks is C3, since it evaluates an already-elapsed period rather than carrying occupancy through the</w:t>
      </w:r>
      <w:r>
        <w:t xml:space="preserve"> </w:t>
      </w:r>
      <w:r>
        <w:t xml:space="preserve">pandemic break to a future year. That is the one axis of difference; no wider novelty claim is made.</w:t>
      </w:r>
    </w:p>
    <w:p>
      <w:pPr>
        <w:pStyle w:val="BodyText"/>
      </w:pPr>
      <w:r>
        <w:t xml:space="preserve">The authors’ own prior line would already score present on most dimensions, since it uses time-series,</w:t>
      </w:r>
      <w:r>
        <w:t xml:space="preserve"> </w:t>
      </w:r>
      <w:r>
        <w:t xml:space="preserve">calibrated occupancy at stock scale. It scores partial on stock-scale and load-shape focus (fewer</w:t>
      </w:r>
      <w:r>
        <w:t xml:space="preserve"> </w:t>
      </w:r>
      <w:r>
        <w:t xml:space="preserve">typologies, only a first look at peak timing) and absent on C3 and C4 (a same-period synthetic year,</w:t>
      </w:r>
      <w:r>
        <w:t xml:space="preserve"> </w:t>
      </w:r>
      <w:r>
        <w:t xml:space="preserve">presence-filtered end uses). The delta from that line is the pipeline-stage advances in Section 1.5,</w:t>
      </w:r>
      <w:r>
        <w:t xml:space="preserve"> </w:t>
      </w:r>
      <w:r>
        <w:t xml:space="preserve">not one more column; its publication status is unconfirmed.</w:t>
      </w:r>
    </w:p>
    <w:bookmarkEnd w:id="45"/>
    <w:bookmarkStart w:id="46" w:name="occupant-behaviour-is-non-stationary"/>
    <w:p>
      <w:pPr>
        <w:pStyle w:val="Heading2"/>
      </w:pPr>
      <w:r>
        <w:t xml:space="preserve">1.3 Occupant behaviour is non-stationary</w:t>
      </w:r>
    </w:p>
    <w:p>
      <w:pPr>
        <w:pStyle w:val="FirstParagraph"/>
      </w:pPr>
      <w:r>
        <w:t xml:space="preserve">The assumption that occupant behaviour is stationary did not hold through the COVID-19 pandemic. Work</w:t>
      </w:r>
      <w:r>
        <w:t xml:space="preserve"> </w:t>
      </w:r>
      <w:r>
        <w:t xml:space="preserve">from home rose sharply, to roughly four times its pre-pandemic level: about 20 percent of full</w:t>
      </w:r>
      <w:r>
        <w:t xml:space="preserve"> </w:t>
      </w:r>
      <w:r>
        <w:t xml:space="preserve">workdays afterward, against 5 percent before (Barrero, Bloom and Davis 2021). Weekday electricity</w:t>
      </w:r>
      <w:r>
        <w:t xml:space="preserve"> </w:t>
      </w:r>
      <w:r>
        <w:t xml:space="preserve">profiles show a change associated with the pandemic and the shift to more work from home, the loss of</w:t>
      </w:r>
      <w:r>
        <w:t xml:space="preserve"> </w:t>
      </w:r>
      <w:r>
        <w:t xml:space="preserve">bimodal commuting peaks and a weekend-like weekday shape (Abdeen et al. 2021), with a weather-adjusted</w:t>
      </w:r>
      <w:r>
        <w:t xml:space="preserve"> </w:t>
      </w:r>
      <w:r>
        <w:t xml:space="preserve">increase of about 7.9 percent in electricity use associated with the pandemic period (Cicala 2023).</w:t>
      </w:r>
      <w:r>
        <w:t xml:space="preserve"> </w:t>
      </w:r>
      <w:r>
        <w:t xml:space="preserve">Occupancy-prediction models trained only on pre-pandemic data degrade sharply once this period is</w:t>
      </w:r>
      <w:r>
        <w:t xml:space="preserve"> </w:t>
      </w:r>
      <w:r>
        <w:t xml:space="preserve">crossed (Motuzienė et al. 2022), the problem a pre-pandemic-anchored projection would inherit.</w:t>
      </w:r>
    </w:p>
    <w:p>
      <w:pPr>
        <w:pStyle w:val="BodyText"/>
      </w:pPr>
      <w:r>
        <w:t xml:space="preserve">What happens to work from home after 2022 is not settled by the material available here. This study</w:t>
      </w:r>
      <w:r>
        <w:t xml:space="preserve"> </w:t>
      </w:r>
      <w:r>
        <w:t xml:space="preserve">does not assume the pandemic-era at-home level holds unchanged to 2030; instead, the share of that</w:t>
      </w:r>
      <w:r>
        <w:t xml:space="preserve"> </w:t>
      </w:r>
      <w:r>
        <w:t xml:space="preserve">shift retained in 2030 is treated as an explicit, stated assumption tested across more than one value,</w:t>
      </w:r>
      <w:r>
        <w:t xml:space="preserve"> </w:t>
      </w:r>
      <w:r>
        <w:t xml:space="preserve">not a single predicted number (Barrero, Bloom and Davis 2023; Statistics Canada 2024b). A pre-pandemic-anchored projection would instead carry the structural break as a</w:t>
      </w:r>
      <w:r>
        <w:t xml:space="preserve"> </w:t>
      </w:r>
      <w:r>
        <w:t xml:space="preserve">systematic bias, misjudging not only how much energy is used but when.</w:t>
      </w:r>
    </w:p>
    <w:bookmarkEnd w:id="46"/>
    <w:bookmarkStart w:id="47" w:name="departure-from-the-authors-prior-line"/>
    <w:p>
      <w:pPr>
        <w:pStyle w:val="Heading2"/>
      </w:pPr>
      <w:r>
        <w:t xml:space="preserve">1.4 Departure from the authors’ prior line</w:t>
      </w:r>
    </w:p>
    <w:p>
      <w:pPr>
        <w:pStyle w:val="FirstParagraph"/>
      </w:pPr>
      <w:r>
        <w:t xml:space="preserve">The present study departs from a specific prior line by the authors: a conditional variational</w:t>
      </w:r>
      <w:r>
        <w:t xml:space="preserve"> </w:t>
      </w:r>
      <w:r>
        <w:t xml:space="preserve">autoencoder, a generative model referred to here as a C-VAE, paired with a cluster-based scheme, used</w:t>
      </w:r>
      <w:r>
        <w:t xml:space="preserve"> </w:t>
      </w:r>
      <w:r>
        <w:t xml:space="preserve">to synthesize longitudinally consistent Canadian residential occupancy schedules from successive</w:t>
      </w:r>
      <w:r>
        <w:t xml:space="preserve"> </w:t>
      </w:r>
      <w:r>
        <w:t xml:space="preserve">General Social Survey cycles and carry them into building energy simulation. That line spans a journal</w:t>
      </w:r>
      <w:r>
        <w:t xml:space="preserve"> </w:t>
      </w:r>
      <w:r>
        <w:t xml:space="preserve">treatment across several Montreal neighbourhood-unit typologies (companion manuscript, under review), a</w:t>
      </w:r>
      <w:r>
        <w:t xml:space="preserve"> </w:t>
      </w:r>
      <w:r>
        <w:t xml:space="preserve">companion conference study across three climate-zone cities (Iseri and Hachem-Vermette 2026), and a</w:t>
      </w:r>
      <w:r>
        <w:t xml:space="preserve"> </w:t>
      </w:r>
      <w:r>
        <w:t xml:space="preserve">related population-statistics and machine-learning occupancy framework (Iseri, Dino and Kalkan 2026).</w:t>
      </w:r>
    </w:p>
    <w:p>
      <w:pPr>
        <w:pStyle w:val="BodyText"/>
      </w:pPr>
      <w:r>
        <w:t xml:space="preserve">That line established what this paper does not re-claim: that survey-grounded, time-series occupancy</w:t>
      </w:r>
      <w:r>
        <w:t xml:space="preserve"> </w:t>
      </w:r>
      <w:r>
        <w:t xml:space="preserve">can be built for Canadian building energy models and moves predicted heating and cooling demand</w:t>
      </w:r>
      <w:r>
        <w:t xml:space="preserve"> </w:t>
      </w:r>
      <w:r>
        <w:t xml:space="preserve">relative to default assumptions, with a first look at diurnal and peak timing. The predecessor asked</w:t>
      </w:r>
      <w:r>
        <w:t xml:space="preserve"> </w:t>
      </w:r>
      <w:r>
        <w:t xml:space="preserve">how much, comparing period-specific occupancy datasets against one default schedule in one climate</w:t>
      </w:r>
      <w:r>
        <w:t xml:space="preserve"> </w:t>
      </w:r>
      <w:r>
        <w:t xml:space="preserve">zone, ending at a same-period synthetic year. This paper asks when: cycle-versus-cycle and</w:t>
      </w:r>
      <w:r>
        <w:t xml:space="preserve"> </w:t>
      </w:r>
      <w:r>
        <w:t xml:space="preserve">within-household rather than default-versus-cycle; occupancy carried through the pandemic break to a</w:t>
      </w:r>
      <w:r>
        <w:t xml:space="preserve"> </w:t>
      </w:r>
      <w:r>
        <w:t xml:space="preserve">stated future year, 2030; scope widened to several Canadian dwelling archetypes across multiple</w:t>
      </w:r>
      <w:r>
        <w:t xml:space="preserve"> </w:t>
      </w:r>
      <w:r>
        <w:t xml:space="preserve">climate zones; end uses anchored to a national household-energy survey rather than filtered from</w:t>
      </w:r>
      <w:r>
        <w:t xml:space="preserve"> </w:t>
      </w:r>
      <w:r>
        <w:t xml:space="preserve">default profiles; and the primary result is the diurnal load shape, not annual totals.</w:t>
      </w:r>
    </w:p>
    <w:bookmarkEnd w:id="47"/>
    <w:bookmarkStart w:id="48" w:name="X7c78a6d54b0e4bda298eb86a14c011a67254201"/>
    <w:p>
      <w:pPr>
        <w:pStyle w:val="Heading2"/>
      </w:pPr>
      <w:r>
        <w:t xml:space="preserve">1.5 Aim and contributions of the present study</w:t>
      </w:r>
    </w:p>
    <w:p>
      <w:pPr>
        <w:pStyle w:val="FirstParagraph"/>
      </w:pPr>
      <w:r>
        <w:t xml:space="preserve">This paper asks whether, and how, occupancy-driven change reshapes the residential load curve at</w:t>
      </w:r>
      <w:r>
        <w:t xml:space="preserve"> </w:t>
      </w:r>
      <w:r>
        <w:t xml:space="preserve">stock scale, under explicit work-from-home scenarios carried to 2030.</w:t>
      </w:r>
    </w:p>
    <w:p>
      <w:pPr>
        <w:pStyle w:val="BodyText"/>
      </w:pPr>
      <w:r>
        <w:t xml:space="preserve">The paper makes three scientific contributions: a generative occupancy model chosen from a broader</w:t>
      </w:r>
      <w:r>
        <w:t xml:space="preserve"> </w:t>
      </w:r>
      <w:r>
        <w:t xml:space="preserve">architecture search against distributional checks the prior C-VAE line did not apply, preserving</w:t>
      </w:r>
      <w:r>
        <w:t xml:space="preserve"> </w:t>
      </w:r>
      <w:r>
        <w:t xml:space="preserve">sharper within-day activity timing (over 40 architectures searched); occupancy carried</w:t>
      </w:r>
      <w:r>
        <w:t xml:space="preserve"> </w:t>
      </w:r>
      <w:r>
        <w:t xml:space="preserve">through the pandemic break to 2030 under explicit scenarios, with the generator checked on a held-out</w:t>
      </w:r>
      <w:r>
        <w:t xml:space="preserve"> </w:t>
      </w:r>
      <w:r>
        <w:t xml:space="preserve">year (trained through 2015, tested on the unseen 2022 cycle) rather than on a same-period synthetic year; and attribution</w:t>
      </w:r>
      <w:r>
        <w:t xml:space="preserve"> </w:t>
      </w:r>
      <w:r>
        <w:t xml:space="preserve">from a paired, within-household stock-scale design holding the same households fixed across each</w:t>
      </w:r>
      <w:r>
        <w:t xml:space="preserve"> </w:t>
      </w:r>
      <w:r>
        <w:t xml:space="preserve">compared year pair, across multiple Canadian archetypes and climate zones (50 households per panel, 5,997 simulation runs).</w:t>
      </w:r>
    </w:p>
    <w:p>
      <w:pPr>
        <w:pStyle w:val="BodyText"/>
      </w:pPr>
      <w:r>
        <w:t xml:space="preserve">It also makes two practical contributions: activity-resolved equipment and lighting loads checked</w:t>
      </w:r>
      <w:r>
        <w:t xml:space="preserve"> </w:t>
      </w:r>
      <w:r>
        <w:t xml:space="preserve">against a national end-use energy survey by dwelling type, a fitted-target check rather than an</w:t>
      </w:r>
      <w:r>
        <w:t xml:space="preserve"> </w:t>
      </w:r>
      <w:r>
        <w:t xml:space="preserve">independent validation of the sub-daily shape (48 of 48 cells within the plus or minus 15 percent band around the fitted target, agreement across dwelling-by-year cells); and diurnal load-shape metrics, load factor, midday energy share, and daily peak timing,</w:t>
      </w:r>
      <w:r>
        <w:t xml:space="preserve"> </w:t>
      </w:r>
      <w:r>
        <w:t xml:space="preserve">reported directly for grid ramping and demand-response planning rather than only annual totals.</w:t>
      </w:r>
    </w:p>
    <w:p>
      <w:pPr>
        <w:pStyle w:val="BodyText"/>
      </w:pPr>
      <w:r>
        <w:t xml:space="preserve">None of these advances is specific to Canada: the pipeline needs a repeated national time-use survey,</w:t>
      </w:r>
      <w:r>
        <w:t xml:space="preserve"> </w:t>
      </w:r>
      <w:r>
        <w:t xml:space="preserve">a census-type household frame linking diaries to a dwelling stock, and a national end-use benchmark, a</w:t>
      </w:r>
      <w:r>
        <w:t xml:space="preserve"> </w:t>
      </w:r>
      <w:r>
        <w:t xml:space="preserve">trio supplied elsewhere by the American Time Use Survey (Chiou et al. 2011) and the Harmonised</w:t>
      </w:r>
      <w:r>
        <w:t xml:space="preserve"> </w:t>
      </w:r>
      <w:r>
        <w:t xml:space="preserve">European Time Use Survey (Eurostat 2018), whose guidelines the activity vocabulary here already</w:t>
      </w:r>
      <w:r>
        <w:t xml:space="preserve"> </w:t>
      </w:r>
      <w:r>
        <w:t xml:space="preserve">follows. What is country-specific is the calibration data and its magnitudes; the generator, the</w:t>
      </w:r>
      <w:r>
        <w:t xml:space="preserve"> </w:t>
      </w:r>
      <w:r>
        <w:t xml:space="preserve">held-out-year evaluation, and the paired design carry over unchanged.</w:t>
      </w:r>
    </w:p>
    <w:p>
      <w:pPr>
        <w:pStyle w:val="BodyText"/>
      </w:pPr>
      <w:r>
        <w:t xml:space="preserve">The framework operationalizing this aim is in Section 2 (Sections 2.1 to 2.12); its limitations,</w:t>
      </w:r>
      <w:r>
        <w:t xml:space="preserve"> </w:t>
      </w:r>
      <w:r>
        <w:t xml:space="preserve">including scope, the scenario treatment of 2030, and the 2022 survey’s collection-mode confound with</w:t>
      </w:r>
      <w:r>
        <w:t xml:space="preserve"> </w:t>
      </w:r>
      <w:r>
        <w:t xml:space="preserve">the pandemic-era shift, are stated in full in Section 5.</w:t>
      </w:r>
    </w:p>
    <w:bookmarkEnd w:id="48"/>
    <w:bookmarkEnd w:id="49"/>
    <w:bookmarkStart w:id="66" w:name="Xa84de6fbfe3f7d1f2fa38f40df0db03d28a98c8"/>
    <w:p>
      <w:pPr>
        <w:pStyle w:val="Heading1"/>
      </w:pPr>
      <w:r>
        <w:t xml:space="preserve">2. Proposed modelling and simulation framework</w:t>
      </w:r>
    </w:p>
    <w:p>
      <w:pPr>
        <w:pStyle w:val="FirstParagraph"/>
      </w:pPr>
      <w:r>
        <w:drawing>
          <wp:inline>
            <wp:extent cx="5334000" cy="252556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../../figures/Figure_01_workflow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Overview of the framework (Sections 2.1 to 2.12). Time-use diaries and census households feed a generative occupancy model; the resulting household schedules and activity-driven loads drive building simulations for 2022 and for three 2030 work-from-home scenarios. Measured hourly load is used only as an external check, not as a model input.</w:t>
      </w:r>
    </w:p>
    <w:p>
      <w:pPr>
        <w:pStyle w:val="BodyText"/>
      </w:pPr>
      <w:r>
        <w:t xml:space="preserve">The framework turns household time-use diaries into building-energy occupancy schedules through a</w:t>
      </w:r>
      <w:r>
        <w:t xml:space="preserve"> </w:t>
      </w:r>
      <w:r>
        <w:t xml:space="preserve">chain of eleven stages: diary harmonisation, a generative day-type model, marginal raking to match</w:t>
      </w:r>
      <w:r>
        <w:t xml:space="preserve"> </w:t>
      </w:r>
      <w:r>
        <w:t xml:space="preserve">independent targets, matching of diary donors to a census-representative population, household</w:t>
      </w:r>
      <w:r>
        <w:t xml:space="preserve"> </w:t>
      </w:r>
      <w:r>
        <w:t xml:space="preserve">aggregation into hourly schedules, activity-driven end-use loads, a scenario-based projection to a</w:t>
      </w:r>
      <w:r>
        <w:t xml:space="preserve"> </w:t>
      </w:r>
      <w:r>
        <w:t xml:space="preserve">future year, sampling of households for simulation, aggregation of simulation output to the national</w:t>
      </w:r>
      <w:r>
        <w:t xml:space="preserve"> </w:t>
      </w:r>
      <w:r>
        <w:t xml:space="preserve">housing stock, load-shape metrics, and a paired statistical comparison across years and across</w:t>
      </w:r>
      <w:r>
        <w:t xml:space="preserve"> </w:t>
      </w:r>
      <w:r>
        <w:t xml:space="preserve">alternative scheduling methods. Each stage is defined below.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Datasets and their role in the framework.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2"/>
        <w:gridCol w:w="940"/>
        <w:gridCol w:w="3293"/>
        <w:gridCol w:w="2822"/>
      </w:tblGrid>
      <w:tr>
        <w:trPr>
          <w:tblHeader w:val="on"/>
        </w:trP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Dataset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Years / vintage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What it provides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Framework stage(s)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GSS time-use diaries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2005, 2010, 2015, 2022 cycles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Respondent-level 10-minute activity and location diaries, harmonised to a common activity code list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Source diaries for the generative model (2.1, 2.2) and for the raking targets (2.3)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Census public-use microdata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2021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Household composition, dwelling type, tenure and geography for a representative population of households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Recipient population for diary matching (2.4) and the base population whose schedules are aggregated (2.5)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NRCan SHEU end-use reference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2019 survey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National annual end-use energy totals by dwelling type (appliances, lighting)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Calibration target for the activity-driven end-use loads (2.6)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Weather files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typical-meteorological-year (TMYx)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Hourly outdoor conditions for each climate zone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Building simulation input alongside the injected schedules (2.5, 2.8)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Building archetype models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fixed archetype geometry and construction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Four dwelling archetypes at six city/climate-zone weather stations, the physical envelope each household’s schedule is run against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Building simulation and stock aggregation (2.8, 2.9)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IESO measured hourly data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recent Ontario system data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Province-level measured hourly electricity data, used as an external reference series, not as a model input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External reference for the simulated load shape (referenced in 2.10 to 2.12; no simulation input role)</w:t>
            </w:r>
          </w:p>
        </w:tc>
      </w:tr>
    </w:tbl>
    <w:bookmarkStart w:id="53" w:name="diary-harmonisation-to-30-minute-slots"/>
    <w:p>
      <w:pPr>
        <w:pStyle w:val="Heading2"/>
      </w:pPr>
      <w:r>
        <w:t xml:space="preserve">2.1 Diary harmonisation to 30-minute slots</w:t>
      </w:r>
    </w:p>
    <w:p>
      <w:pPr>
        <w:pStyle w:val="FirstParagraph"/>
      </w:pPr>
      <w:r>
        <w:t xml:space="preserve">Each respondent’s diary is first represented at 10-minute resolution as 144 activity codes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slot_001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slot_144</w:t>
      </w:r>
      <w:r>
        <w:t xml:space="preserve">) and 144 binary at-home indicators (</w:t>
      </w:r>
      <w:r>
        <w:rPr>
          <w:rStyle w:val="VerbatimChar"/>
        </w:rPr>
        <w:t xml:space="preserve">home_001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home_144</w:t>
      </w:r>
      <w:r>
        <w:t xml:space="preserve">), covering one full</w:t>
      </w:r>
      <w:r>
        <w:t xml:space="preserve"> </w:t>
      </w:r>
      <w:r>
        <w:t xml:space="preserve">day from a 04:00 origin. These are downsampled to 48 slots of 30 minutes for the generative model</w:t>
      </w:r>
      <w:r>
        <w:t xml:space="preserve"> </w:t>
      </w:r>
      <w:r>
        <w:t xml:space="preserve">and for every later stage. For slot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}</m:t>
        </m:r>
      </m:oMath>
      <w:r>
        <w:t xml:space="preserve">, the activity code is the majority vote</w:t>
      </w:r>
      <w:r>
        <w:t xml:space="preserve"> </w:t>
      </w:r>
      <w:r>
        <w:t xml:space="preserve">(mode) of the three underlying 10-minute codes, with the rare three-way ties resolved in a separate</w:t>
      </w:r>
      <w:r>
        <w:t xml:space="preserve"> </w:t>
      </w:r>
      <w:r>
        <w:t xml:space="preserve">step: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act30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mode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slot</m:t>
                  </m:r>
                </m:e>
                <m:sub>
                  <m:r>
                    <m:t>3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slot</m:t>
                  </m:r>
                </m:e>
                <m:sub>
                  <m:r>
                    <m:t>3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slot</m:t>
                  </m:r>
                </m:e>
                <m:sub>
                  <m:r>
                    <m:t>3</m:t>
                  </m:r>
                  <m:r>
                    <m:t>s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and the at-home indicator is set to 1 when at least two of the three underlying slots are at home: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hom30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home</m:t>
                      </m:r>
                    </m:e>
                    <m:sub>
                      <m:r>
                        <m:t>3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sub>
                  </m:sSub>
                </m:e>
              </m:nary>
              <m:r>
                <m:t> </m:t>
              </m:r>
              <m:r>
                <m:rPr>
                  <m:sty m:val="p"/>
                </m:rPr>
                <m:t>≥</m:t>
              </m:r>
              <m:r>
                <m:t> </m:t>
              </m:r>
              <m:r>
                <m:t>2</m:t>
              </m:r>
              <m:r>
                <m:t> </m:t>
              </m:r>
            </m:e>
          </m:d>
        </m:oMath>
      </m:oMathPara>
    </w:p>
    <w:p>
      <w:pPr>
        <w:pStyle w:val="FirstParagraph"/>
      </w:pPr>
      <w:r>
        <w:t xml:space="preserve">The resulting 48-slot series (</w:t>
      </w:r>
      <w:r>
        <w:rPr>
          <w:rStyle w:val="VerbatimChar"/>
        </w:rPr>
        <w:t xml:space="preserve">act30_001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act30_048</w:t>
      </w:r>
      <w:r>
        <w:t xml:space="preserve">,</w:t>
      </w:r>
      <w:r>
        <w:t xml:space="preserve"> </w:t>
      </w:r>
      <w:r>
        <w:rPr>
          <w:rStyle w:val="VerbatimChar"/>
        </w:rPr>
        <w:t xml:space="preserve">hom30_001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hom30_048</w:t>
      </w:r>
      <w:r>
        <w:t xml:space="preserve">) is the unit</w:t>
      </w:r>
      <w:r>
        <w:t xml:space="preserve"> </w:t>
      </w:r>
      <w:r>
        <w:t xml:space="preserve">that every later stage of the framework consumes: the generative model’s training target, the raking</w:t>
      </w:r>
      <w:r>
        <w:t xml:space="preserve"> </w:t>
      </w:r>
      <w:r>
        <w:t xml:space="preserve">target, the census-matched donor, and the household-schedule input to the building simulation are all</w:t>
      </w:r>
      <w:r>
        <w:t xml:space="preserve"> </w:t>
      </w:r>
      <w:r>
        <w:t xml:space="preserve">expressed in this same 48-slot, 04:00-origin form.</w:t>
      </w:r>
    </w:p>
    <w:bookmarkEnd w:id="53"/>
    <w:bookmarkStart w:id="54" w:name="generative-day-type-model"/>
    <w:p>
      <w:pPr>
        <w:pStyle w:val="Heading2"/>
      </w:pPr>
      <w:r>
        <w:t xml:space="preserve">2.2 Generative day-type model</w:t>
      </w:r>
    </w:p>
    <w:p>
      <w:pPr>
        <w:pStyle w:val="FirstParagraph"/>
      </w:pPr>
      <w:r>
        <w:t xml:space="preserve">The model is a sequence model with an encoder-decoder structure: an encoder builds a single</w:t>
      </w:r>
      <w:r>
        <w:t xml:space="preserve"> </w:t>
      </w:r>
      <w:r>
        <w:t xml:space="preserve">conditioning representation from the respondent’s demographic profile (age group, sex, marital</w:t>
      </w:r>
      <w:r>
        <w:t xml:space="preserve"> </w:t>
      </w:r>
      <w:r>
        <w:t xml:space="preserve">status, household size, labour-force status), the survey cycle, and the target day-type stratum</w:t>
      </w:r>
      <w:r>
        <w:t xml:space="preserve"> </w:t>
      </w:r>
      <w:r>
        <w:t xml:space="preserve">(weekday, Saturday, Sunday), and a decoder produces the 48-slot day conditioned on that</w:t>
      </w:r>
      <w:r>
        <w:t xml:space="preserve"> </w:t>
      </w:r>
      <w:r>
        <w:t xml:space="preserve">representation through cross-attention. At each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decoder outputs three sets of logits:</w:t>
      </w:r>
      <w:r>
        <w:t xml:space="preserve"> </w:t>
      </w:r>
      <w:r>
        <w:t xml:space="preserve">a 14-way activity categorical, a binary at-home indicator, and a 9-channel co-presence indicator</w:t>
      </w:r>
      <w:r>
        <w:t xml:space="preserve"> </w:t>
      </w:r>
      <w:r>
        <w:t xml:space="preserve">(who else is present). Training maximises a weighted combination of the per-slot negative</w:t>
      </w:r>
      <w:r>
        <w:t xml:space="preserve"> </w:t>
      </w:r>
      <w:r>
        <w:t xml:space="preserve">log-likelihoods of these three (conditionally independent, given the decoder state) distributions,</w:t>
      </w:r>
      <w:r>
        <w:t xml:space="preserve"> </w:t>
      </w:r>
      <w:r>
        <w:t xml:space="preserve">plus two regularisation terms: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48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act</m:t>
                      </m:r>
                    </m:sub>
                  </m:sSub>
                  <m:r>
                    <m:t> </m:t>
                  </m:r>
                  <m:sSubSup>
                    <m:e>
                      <m:r>
                        <m:t>ℓ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act</m:t>
                      </m:r>
                    </m:sup>
                  </m:sSubSup>
                  <m:r>
                    <m:t> </m:t>
                  </m:r>
                  <m:r>
                    <m:rPr>
                      <m:sty m:val="p"/>
                    </m:rPr>
                    <m:t>+</m:t>
                  </m:r>
                  <m:r>
                    <m:t> 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home</m:t>
                      </m:r>
                    </m:sub>
                  </m:sSub>
                  <m:r>
                    <m:t> </m:t>
                  </m:r>
                  <m:sSubSup>
                    <m:e>
                      <m:r>
                        <m:t>ℓ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home</m:t>
                      </m:r>
                    </m:sup>
                  </m:sSubSup>
                  <m:r>
                    <m:t> </m:t>
                  </m:r>
                  <m:r>
                    <m:rPr>
                      <m:sty m:val="p"/>
                    </m:rPr>
                    <m:t>+</m:t>
                  </m:r>
                  <m:r>
                    <m:t> 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cop</m:t>
                      </m:r>
                    </m:sub>
                  </m:sSub>
                  <m:r>
                    <m:t> </m:t>
                  </m:r>
                  <m:sSubSup>
                    <m:e>
                      <m:r>
                        <m:t>ℓ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cop</m:t>
                      </m:r>
                    </m:sup>
                  </m:sSubSup>
                </m:e>
              </m:d>
            </m:e>
          </m:nary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marg</m:t>
              </m:r>
            </m:sub>
          </m:sSub>
          <m:r>
            <m:t> 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marg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aux</m:t>
              </m:r>
            </m:sub>
          </m:sSub>
          <m:r>
            <m:t> 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aux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act</m:t>
            </m:r>
          </m:sup>
        </m:sSubSup>
      </m:oMath>
      <w:r>
        <w:t xml:space="preserve"> </w:t>
      </w:r>
      <w:r>
        <w:t xml:space="preserve">is the categorical cross-entropy of the activity head against the</w:t>
      </w:r>
      <w:r>
        <w:t xml:space="preserve"> </w:t>
      </w:r>
      <w:r>
        <w:t xml:space="preserve">observed activity at slot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m:oMath>
        <m:sSubSup>
          <m:e>
            <m:r>
              <m:t>ℓ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home</m:t>
            </m:r>
          </m:sup>
        </m:sSubSup>
      </m:oMath>
      <w:r>
        <w:t xml:space="preserve"> </w:t>
      </w:r>
      <w:r>
        <w:t xml:space="preserve">is the binary cross-entropy of the at-home</w:t>
      </w:r>
      <w:r>
        <w:t xml:space="preserve"> </w:t>
      </w:r>
      <w:r>
        <w:t xml:space="preserve">head;</w:t>
      </w:r>
      <w:r>
        <w:t xml:space="preserve"> </w:t>
      </w:r>
      <m:oMath>
        <m:sSubSup>
          <m:e>
            <m:r>
              <m:t>ℓ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cop</m:t>
            </m:r>
          </m:sup>
        </m:sSubSup>
      </m:oMath>
      <w:r>
        <w:t xml:space="preserve"> </w:t>
      </w:r>
      <w:r>
        <w:t xml:space="preserve">is the binary cross-entropy of the 9 co-presence channels, masked by</w:t>
      </w:r>
      <w:r>
        <w:t xml:space="preserve"> </w:t>
      </w:r>
      <w:r>
        <w:t xml:space="preserve">the availability of each co-presence channel for that respondent and, for the colleagues channel,</w:t>
      </w:r>
      <w:r>
        <w:t xml:space="preserve"> </w:t>
      </w:r>
      <w:r>
        <w:t xml:space="preserve">zeroed for cycles that do not carry a colleagues category;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marg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t xml:space="preserve">direction-agnostic penalty on the gap between the model’s average at-home rate and the observed</w:t>
      </w:r>
      <w:r>
        <w:t xml:space="preserve"> </w:t>
      </w:r>
      <w:r>
        <w:t xml:space="preserve">average at-home rate; and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aux</m:t>
            </m:r>
          </m:sub>
        </m:sSub>
      </m:oMath>
      <w:r>
        <w:t xml:space="preserve"> </w:t>
      </w:r>
      <w:r>
        <w:t xml:space="preserve">is a small auxiliary classification loss that predicts</w:t>
      </w:r>
      <w:r>
        <w:t xml:space="preserve"> </w:t>
      </w:r>
      <w:r>
        <w:t xml:space="preserve">the target day-type stratum from the decoder state. The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weights are fixed training</w:t>
      </w:r>
      <w:r>
        <w:t xml:space="preserve"> </w:t>
      </w:r>
      <w:r>
        <w:t xml:space="preserve">parameters, not fitted. Two further terms exist in the code (a logic-consistency penalty between the</w:t>
      </w:r>
      <w:r>
        <w:t xml:space="preserve"> </w:t>
      </w:r>
      <w:r>
        <w:t xml:space="preserve">at-home and co-presence heads, and a transition-rate penalty) but their default weight is zero, so</w:t>
      </w:r>
      <w:r>
        <w:t xml:space="preserve"> </w:t>
      </w:r>
      <w:r>
        <w:t xml:space="preserve">they do not enter the trained model discussed in this paper; they are noted here only because the</w:t>
      </w:r>
      <w:r>
        <w:t xml:space="preserve"> </w:t>
      </w:r>
      <w:r>
        <w:t xml:space="preserve">code defines them.</w:t>
      </w:r>
    </w:p>
    <w:bookmarkEnd w:id="54"/>
    <w:bookmarkStart w:id="55" w:name="marginal-raking-of-at-home-slots"/>
    <w:p>
      <w:pPr>
        <w:pStyle w:val="Heading2"/>
      </w:pPr>
      <w:r>
        <w:t xml:space="preserve">2.3 Marginal raking of at-home slots</w:t>
      </w:r>
    </w:p>
    <w:p>
      <w:pPr>
        <w:pStyle w:val="FirstParagraph"/>
      </w:pPr>
      <w:r>
        <w:t xml:space="preserve">Raking is applied after census-to-diary matching (section 2.4), to the matched population. Two rakes</w:t>
      </w:r>
      <w:r>
        <w:t xml:space="preserve"> </w:t>
      </w:r>
      <w:r>
        <w:t xml:space="preserve">adjust the at-home marginal, one per day-type stratum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30-minute slot</w:t>
      </w:r>
      <w:r>
        <w:t xml:space="preserve"> </w:t>
      </w:r>
      <m:oMath>
        <m:r>
          <m:t>t</m:t>
        </m:r>
      </m:oMath>
      <w:r>
        <w:t xml:space="preserve">: for the survey year,</w:t>
      </w:r>
      <w:r>
        <w:t xml:space="preserve"> </w:t>
      </w:r>
      <w:r>
        <w:t xml:space="preserve">the model-generated diary-days are raked to the at-home rate of the real respondents; for 2030, the</w:t>
      </w:r>
      <w:r>
        <w:t xml:space="preserve"> </w:t>
      </w:r>
      <w:r>
        <w:t xml:space="preserve">matched population is raked to the scenario target of section 2.7. Both use the same mechanism, which is a</w:t>
      </w:r>
      <w:r>
        <w:t xml:space="preserve"> </w:t>
      </w:r>
      <w:r>
        <w:t xml:space="preserve">single deterministic pass, not an iterative multiplicative procedure. For a target at-home rate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 group of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diaries sharing stratum</w:t>
      </w:r>
      <w:r>
        <w:t xml:space="preserve"> </w:t>
      </w:r>
      <m:oMath>
        <m:r>
          <m:t>s</m:t>
        </m:r>
      </m:oMath>
      <w:r>
        <w:t xml:space="preserve">, the integer target count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nor/>
                  <m:sty m:val="p"/>
                </m:rPr>
                <m:t>tgt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round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and the number of records to flip at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shortfall against the current count of ones,</w:t>
      </w:r>
      <w:r>
        <w:t xml:space="preserve"> </w:t>
      </w:r>
      <m:oMath>
        <m:sSubSup>
          <m:e>
            <m:r>
              <m:t>n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nor/>
                <m:sty m:val="p"/>
              </m:rPr>
              <m:t>cur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nor/>
                  <m:sty m:val="p"/>
                </m:rPr>
                <m:t>tgt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n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nor/>
                  <m:sty m:val="p"/>
                </m:rPr>
                <m:t>cur</m:t>
              </m:r>
            </m:sup>
          </m:sSub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that many zero-valued records are flipped to one; if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that</w:t>
      </w:r>
      <w:r>
        <w:t xml:space="preserve"> </w:t>
      </w:r>
      <w:r>
        <w:t xml:space="preserve">many one-valued records are flipped to zero. Candidates are chosen with priority given to records at</w:t>
      </w:r>
      <w:r>
        <w:t xml:space="preserve"> </w:t>
      </w:r>
      <w:r>
        <w:t xml:space="preserve">an activity-transition boundary (where the neighbouring slot’s value differs from slot</w:t>
      </w:r>
      <w:r>
        <w:t xml:space="preserve"> </w:t>
      </w:r>
      <m:oMath>
        <m:r>
          <m:t>t</m:t>
        </m:r>
      </m:oMath>
      <w:r>
        <w:t xml:space="preserve">), with</w:t>
      </w:r>
      <w:r>
        <w:t xml:space="preserve"> </w:t>
      </w:r>
      <w:r>
        <w:t xml:space="preserve">remaining ties broken by a fixed random seed. Because the target count is met exactly by</w:t>
      </w:r>
      <w:r>
        <w:t xml:space="preserve"> </w:t>
      </w:r>
      <w:r>
        <w:t xml:space="preserve">construction (up to the number of available candidate records), there is no convergence tolerance or</w:t>
      </w:r>
      <w:r>
        <w:t xml:space="preserve"> </w:t>
      </w:r>
      <w:r>
        <w:t xml:space="preserve">iteration count: one pass over every (stratum, slot) pair reproduces the target count exactly, or as</w:t>
      </w:r>
      <w:r>
        <w:t xml:space="preserve"> </w:t>
      </w:r>
      <w:r>
        <w:t xml:space="preserve">closely as the available candidates allow. The procedure is therefore a minimal-flip integer rake to</w:t>
      </w:r>
      <w:r>
        <w:t xml:space="preserve"> </w:t>
      </w:r>
      <w:r>
        <w:t xml:space="preserve">an exact per-slot count, not an iterative multiplicative proportional fitting. For the survey year, a</w:t>
      </w:r>
      <w:r>
        <w:t xml:space="preserve"> </w:t>
      </w:r>
      <w:r>
        <w:t xml:space="preserve">floor guard follows: a single-person household whose daily at-home mean the rake pushed below a fixed</w:t>
      </w:r>
      <w:r>
        <w:t xml:space="preserve"> </w:t>
      </w:r>
      <w:r>
        <w:t xml:space="preserve">floor has night slots restored to at home until the floor is met.</w:t>
      </w:r>
    </w:p>
    <w:bookmarkEnd w:id="55"/>
    <w:bookmarkStart w:id="56" w:name="census-to-diary-matching"/>
    <w:p>
      <w:pPr>
        <w:pStyle w:val="Heading2"/>
      </w:pPr>
      <w:r>
        <w:t xml:space="preserve">2.4 Census-to-diary matching</w:t>
      </w:r>
    </w:p>
    <w:p>
      <w:pPr>
        <w:pStyle w:val="FirstParagraph"/>
      </w:pPr>
      <w:r>
        <w:t xml:space="preserve">Each synthetic (census) household member is assigned a donor diary by a four-level fallback search,</w:t>
      </w:r>
      <w:r>
        <w:t xml:space="preserve"> </w:t>
      </w:r>
      <w:r>
        <w:t xml:space="preserve">attempted in order until a non-empty donor group is found for that Census record:</w:t>
      </w:r>
    </w:p>
    <w:p>
      <w:pPr>
        <w:pStyle w:val="Compact"/>
        <w:numPr>
          <w:ilvl w:val="0"/>
          <w:numId w:val="1003"/>
        </w:numPr>
      </w:pPr>
      <w:r>
        <w:t xml:space="preserve">an exact match on age group, sex, marital status, household size, labour-force status and</w:t>
      </w:r>
      <w:r>
        <w:t xml:space="preserve"> </w:t>
      </w:r>
      <w:r>
        <w:t xml:space="preserve">province, within the same day-type stratum;</w:t>
      </w:r>
    </w:p>
    <w:p>
      <w:pPr>
        <w:pStyle w:val="Compact"/>
        <w:numPr>
          <w:ilvl w:val="0"/>
          <w:numId w:val="1003"/>
        </w:numPr>
      </w:pPr>
      <w:r>
        <w:t xml:space="preserve">a match on age group, sex, labour-force status and province only, within the same day-type</w:t>
      </w:r>
      <w:r>
        <w:t xml:space="preserve"> </w:t>
      </w:r>
      <w:r>
        <w:t xml:space="preserve">stratum;</w:t>
      </w:r>
    </w:p>
    <w:p>
      <w:pPr>
        <w:pStyle w:val="Compact"/>
        <w:numPr>
          <w:ilvl w:val="0"/>
          <w:numId w:val="1003"/>
        </w:numPr>
      </w:pPr>
      <w:r>
        <w:t xml:space="preserve">a match on age group and sex only, within the same day-type stratum;</w:t>
      </w:r>
    </w:p>
    <w:p>
      <w:pPr>
        <w:pStyle w:val="Compact"/>
        <w:numPr>
          <w:ilvl w:val="0"/>
          <w:numId w:val="1003"/>
        </w:numPr>
      </w:pPr>
      <w:r>
        <w:t xml:space="preserve">a random draw from every diary of the same day-type stratum, regardless of demographics, used</w:t>
      </w:r>
      <w:r>
        <w:t xml:space="preserve"> </w:t>
      </w:r>
      <w:r>
        <w:t xml:space="preserve">only when no donor shares even age group and sex.</w:t>
      </w:r>
    </w:p>
    <w:p>
      <w:pPr>
        <w:pStyle w:val="FirstParagraph"/>
      </w:pPr>
      <w:r>
        <w:t xml:space="preserve">Within whichever level supplies the donor group, one donor is drawn uniformly at random. The</w:t>
      </w:r>
      <w:r>
        <w:t xml:space="preserve"> </w:t>
      </w:r>
      <w:r>
        <w:t xml:space="preserve">day-type stratum itself is assigned to each Census record first (the census record carries no diary</w:t>
      </w:r>
      <w:r>
        <w:t xml:space="preserve"> </w:t>
      </w:r>
      <w:r>
        <w:t xml:space="preserve">day), with a fixed 5:1:1 weekday-to-Saturday-to-Sunday probability split. All random draws use a</w:t>
      </w:r>
      <w:r>
        <w:t xml:space="preserve"> </w:t>
      </w:r>
      <w:r>
        <w:t xml:space="preserve">fixed seed. Survey cycle is not a matching key: the donor pool for a given year is built from that</w:t>
      </w:r>
      <w:r>
        <w:t xml:space="preserve"> </w:t>
      </w:r>
      <w:r>
        <w:t xml:space="preserve">year’s own diaries only (2022 diaries for the 2022 stock; each earlier cycle from its own diaries).</w:t>
      </w:r>
      <w:r>
        <w:t xml:space="preserve"> </w:t>
      </w:r>
      <w:r>
        <w:t xml:space="preserve">Metropolitan area is not a key either; it is nested within province and was dropped from the first</w:t>
      </w:r>
      <w:r>
        <w:t xml:space="preserve"> </w:t>
      </w:r>
      <w:r>
        <w:t xml:space="preserve">level so that more people keep household size as a matched attribute. As a consequence, a donor</w:t>
      </w:r>
      <w:r>
        <w:t xml:space="preserve"> </w:t>
      </w:r>
      <w:r>
        <w:t xml:space="preserve">shares the recipient’s metropolitan area less often, which is stated as a limitation.</w:t>
      </w:r>
    </w:p>
    <w:bookmarkEnd w:id="56"/>
    <w:bookmarkStart w:id="57" w:name="X5b1a98d6c3bcd68398626bc220ac37b1e3730e7"/>
    <w:p>
      <w:pPr>
        <w:pStyle w:val="Heading2"/>
      </w:pPr>
      <w:r>
        <w:t xml:space="preserve">2.5 Household aggregation and conversion to schedules</w:t>
      </w:r>
    </w:p>
    <w:p>
      <w:pPr>
        <w:pStyle w:val="FirstParagraph"/>
      </w:pPr>
      <w:r>
        <w:t xml:space="preserve">Once every household member has a 48-slot activity and at-home series (from the harmonised diary,</w:t>
      </w:r>
      <w:r>
        <w:t xml:space="preserve"> </w:t>
      </w:r>
      <w:r>
        <w:t xml:space="preserve">the generative model, or the matched donor, depending on the year), the household-level schedule is</w:t>
      </w:r>
      <w:r>
        <w:t xml:space="preserve"> </w:t>
      </w:r>
      <w:r>
        <w:t xml:space="preserve">built by averaging across members. For household</w:t>
      </w:r>
      <w:r>
        <w:t xml:space="preserve"> </w:t>
      </w:r>
      <m:oMath>
        <m:r>
          <m:t>h</m:t>
        </m:r>
      </m:oMath>
      <w:r>
        <w:t xml:space="preserve">, day type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(weekday or weekend, with</w:t>
      </w:r>
      <w:r>
        <w:t xml:space="preserve"> </w:t>
      </w:r>
      <w:r>
        <w:t xml:space="preserve">Saturday and Sunday pooled into one weekend day type) and slot</w:t>
      </w:r>
      <w:r>
        <w:t xml:space="preserve"> </w:t>
      </w:r>
      <m:oMath>
        <m:r>
          <m:t>t</m:t>
        </m:r>
      </m:oMath>
      <w:r>
        <w:t xml:space="preserve">, the fraction of the household at</w:t>
      </w:r>
      <w:r>
        <w:t xml:space="preserve"> </w:t>
      </w:r>
      <w:r>
        <w:t xml:space="preserve">home is the mean of the members’ at-home indicators: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occ48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sup>
            <m:e>
              <m:sSubSup>
                <m:e>
                  <m:r>
                    <m:rPr>
                      <m:nor/>
                      <m:sty m:val="p"/>
                    </m:rPr>
                    <m:t>hom30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M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counts the member diary-days pooled into that day type (Saturday and Sunday records</w:t>
      </w:r>
      <w:r>
        <w:t xml:space="preserve"> </w:t>
      </w:r>
      <w:r>
        <w:t xml:space="preserve">both enter the weekend mean). The household metabolic rate is the mean, over the same records, of a</w:t>
      </w:r>
      <w:r>
        <w:t xml:space="preserve"> </w:t>
      </w:r>
      <w:r>
        <w:t xml:space="preserve">fixed activity-to-watts lookup applied to each activity code (a fixed default applies to codes</w:t>
      </w:r>
      <w:r>
        <w:t xml:space="preserve"> </w:t>
      </w:r>
      <w:r>
        <w:t xml:space="preserve">without an entry):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met48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sup>
            <m:e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met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nor/>
                      <m:sty m:val="p"/>
                    </m:rPr>
                    <m:t>act30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Both 48-slot series are then averaged pairwise into 24 hourly values,</w:t>
      </w:r>
      <w:r>
        <w:t xml:space="preserve"> </w:t>
      </w:r>
      <m:oMath>
        <m:sSub>
          <m:e>
            <m:r>
              <m:rPr>
                <m:nor/>
                <m:sty m:val="p"/>
              </m:rPr>
              <m:t>occ24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occ48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occ48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hour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24</m:t>
        </m:r>
      </m:oMath>
      <w:r>
        <w:t xml:space="preserve"> </w:t>
      </w:r>
      <w:r>
        <w:t xml:space="preserve">(and likewise for the metabolic series), and the result is rolled by four hours so</w:t>
      </w:r>
      <w:r>
        <w:t xml:space="preserve"> </w:t>
      </w:r>
      <w:r>
        <w:t xml:space="preserve">that clock hour 0 (midnight) lines up with the weather file’s clock; the diary’s own origin is 04:00,</w:t>
      </w:r>
      <w:r>
        <w:t xml:space="preserve"> </w:t>
      </w:r>
      <w:r>
        <w:t xml:space="preserve">not midnight. The equipment and lighting fractions from section 2.6 are attached to the same</w:t>
      </w:r>
      <w:r>
        <w:t xml:space="preserve"> </w:t>
      </w:r>
      <w:r>
        <w:t xml:space="preserve">household/day-type/hour rows after the same four-hour roll. The output is one row per household, day</w:t>
      </w:r>
      <w:r>
        <w:t xml:space="preserve"> </w:t>
      </w:r>
      <w:r>
        <w:t xml:space="preserve">type and hour, in the column format the building-simulation stage’s schedule-injection function</w:t>
      </w:r>
      <w:r>
        <w:t xml:space="preserve"> </w:t>
      </w:r>
      <w:r>
        <w:t xml:space="preserve">consumes; each household contributes exactly one weekday row set and one weekend row set to the</w:t>
      </w:r>
      <w:r>
        <w:t xml:space="preserve"> </w:t>
      </w:r>
      <w:r>
        <w:t xml:space="preserve">schedule file used for that year’s simulation.</w:t>
      </w:r>
    </w:p>
    <w:bookmarkEnd w:id="57"/>
    <w:bookmarkStart w:id="58" w:name="Xb9df0be0ec83dfaf251755e65cf4d756df85b1a"/>
    <w:p>
      <w:pPr>
        <w:pStyle w:val="Heading2"/>
      </w:pPr>
      <w:r>
        <w:t xml:space="preserve">2.6 Activity-driven end-use loads and the calibration scalar</w:t>
      </w:r>
      <w:r>
        <w:t xml:space="preserve"> </w:t>
      </w:r>
      <m:oMath>
        <m:sSub>
          <m:e>
            <m:r>
              <m:t>f</m:t>
            </m:r>
          </m:e>
          <m:sub>
            <m:r>
              <m:t>e</m:t>
            </m:r>
          </m:sub>
        </m:sSub>
      </m:oMath>
    </w:p>
    <w:p>
      <w:pPr>
        <w:pStyle w:val="FirstParagraph"/>
      </w:pPr>
      <w:r>
        <w:t xml:space="preserve">End-use equipment power and lighting state are built slot by slot from the same household diary,</w:t>
      </w:r>
      <w:r>
        <w:t xml:space="preserve"> </w:t>
      </w:r>
      <w:r>
        <w:t xml:space="preserve">before the 48-to-24 averaging of section 2.5. At slot</w:t>
      </w:r>
      <w:r>
        <w:t xml:space="preserve"> </w:t>
      </w:r>
      <m:oMath>
        <m:r>
          <m:t>t</m:t>
        </m:r>
      </m:oMath>
      <w:r>
        <w:t xml:space="preserve">, with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household members present</w:t>
      </w:r>
      <w:r>
        <w:t xml:space="preserve"> </w:t>
      </w:r>
      <w:r>
        <w:t xml:space="preserve">(at home) and their activities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t</m:t>
                </m:r>
              </m:sub>
            </m:sSub>
          </m:sub>
        </m:sSub>
      </m:oMath>
      <w:r>
        <w:t xml:space="preserve">, the raw equipment power is a baseload plus a</w:t>
      </w:r>
      <w:r>
        <w:t xml:space="preserve"> </w:t>
      </w:r>
      <w:r>
        <w:t xml:space="preserve">sum over device categories: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shared</m:t>
                  </m:r>
                </m:sub>
              </m:sSub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lim>
                  </m:limLow>
                  <m:sSub>
                    <m:e>
                      <m:r>
                        <m:t>w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 </m:t>
          </m:r>
          <m:r>
            <m:t>η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personal</m:t>
                  </m:r>
                </m:sub>
              </m:sSub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dw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η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shared</m:t>
            </m:r>
          </m:sub>
        </m:sSub>
      </m:oMath>
      <w:r>
        <w:t xml:space="preserve"> </w:t>
      </w:r>
      <w:r>
        <w:t xml:space="preserve">is the set of appliance categories one household uses at a time (cooking,</w:t>
      </w:r>
      <w:r>
        <w:t xml:space="preserve"> </w:t>
      </w:r>
      <w:r>
        <w:t xml:space="preserve">washer, dryer, television),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personal</m:t>
            </m:r>
          </m:sub>
        </m:sSub>
      </m:oMath>
      <w:r>
        <w:t xml:space="preserve"> </w:t>
      </w:r>
      <w:r>
        <w:t xml:space="preserve">is the set used per person (a personal computer),</w:t>
      </w:r>
      <w: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fixed weight giving how strongly activity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use of category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t xml:space="preserve">fixed rated power for category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fixed, non-decreasing diminishing-returns factor</w:t>
      </w:r>
      <w:r>
        <w:t xml:space="preserve"> </w:t>
      </w:r>
      <w:r>
        <w:t xml:space="preserve">for shared-device co-occupancy (</w:t>
      </w:r>
      <m:oMath>
        <m:r>
          <m:t>η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saturating at a fixed cap for five or more</w:t>
      </w:r>
      <w:r>
        <w:t xml:space="preserve"> </w:t>
      </w:r>
      <w:r>
        <w:t xml:space="preserve">present members), and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dw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separate dishwasher term that, once triggered by a</w:t>
      </w:r>
      <w:r>
        <w:t xml:space="preserve"> </w:t>
      </w:r>
      <w:r>
        <w:t xml:space="preserve">present member’s activity, runs for a fixed number of slots and then enforces a fixed cooldown before</w:t>
      </w:r>
      <w:r>
        <w:t xml:space="preserve"> </w:t>
      </w:r>
      <w:r>
        <w:t xml:space="preserve">it can trigger again. The lighting indicator is binary:</w:t>
      </w:r>
      <w:r>
        <w:t xml:space="preserve"> </w:t>
      </w:r>
      <m:oMath>
        <m:sSub>
          <m:e>
            <m:r>
              <m:rPr>
                <m:nor/>
                <m:sty m:val="p"/>
              </m:rPr>
              <m:t>light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any present member’s</w:t>
      </w:r>
      <w:r>
        <w:t xml:space="preserve"> </w:t>
      </w:r>
      <w:r>
        <w:t xml:space="preserve">activity has a non-zero lighting weight, else 0.</w:t>
      </w:r>
    </w:p>
    <w:p>
      <w:pPr>
        <w:pStyle w:val="BodyText"/>
      </w:pPr>
      <w:r>
        <w:t xml:space="preserve">The 48-slot raw series is averaged into 24 hourly values exactly as in section 2.5, then scaled to an</w:t>
      </w:r>
      <w:r>
        <w:t xml:space="preserve"> </w:t>
      </w:r>
      <w:r>
        <w:t xml:space="preserve">external annual-energy target by dwelling type from the NRCan SHEU reference (the equipment target is</w:t>
      </w:r>
      <w:r>
        <w:t xml:space="preserve"> </w:t>
      </w:r>
      <w:r>
        <w:t xml:space="preserve">net of the refrigerator load already represented separately in the building model, to avoid</w:t>
      </w:r>
      <w:r>
        <w:t xml:space="preserve"> </w:t>
      </w:r>
      <w:r>
        <w:t xml:space="preserve">double-counting). Writing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raw</m:t>
            </m:r>
          </m:sub>
        </m:sSub>
      </m:oMath>
      <w:r>
        <w:t xml:space="preserve"> </w:t>
      </w:r>
      <w:r>
        <w:t xml:space="preserve">for the raw annual equipment energy implied by the 24-hour</w:t>
      </w:r>
      <w:r>
        <w:t xml:space="preserve"> </w:t>
      </w:r>
      <w:r>
        <w:t xml:space="preserve">weekday/weekend profile and a fixed weekday/weekend day count, and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tgt</m:t>
            </m:r>
          </m:sub>
        </m:sSub>
      </m:oMath>
      <w:r>
        <w:t xml:space="preserve"> </w:t>
      </w:r>
      <w:r>
        <w:t xml:space="preserve">for the SHEU</w:t>
      </w:r>
      <w:r>
        <w:t xml:space="preserve"> </w:t>
      </w:r>
      <w:r>
        <w:t xml:space="preserve">target for that dwelling type, the calibration scalar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tgt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raw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applied to the peak raw hourly power to obtain the building-simulation design power, and to the raw</w:t>
      </w:r>
      <w:r>
        <w:t xml:space="preserve"> </w:t>
      </w:r>
      <w:r>
        <w:t xml:space="preserve">hourly series (divided by its own peak) to obtain a 0-1 equipment fraction schedule. Lighting is</w:t>
      </w:r>
      <w:r>
        <w:t xml:space="preserve"> </w:t>
      </w:r>
      <w:r>
        <w:t xml:space="preserve">scaled the same way, using total annual lit-hours in place of raw energy. This SHEU agreement is a</w:t>
      </w:r>
      <w:r>
        <w:t xml:space="preserve"> </w:t>
      </w:r>
      <w:r>
        <w:t xml:space="preserve">calibration of the design power and duty fraction to an external annual total: it is not a</w:t>
      </w:r>
      <w:r>
        <w:t xml:space="preserve"> </w:t>
      </w:r>
      <w:r>
        <w:t xml:space="preserve">validation of the sub-hourly shape, which is not compared against any external end-use time series.</w:t>
      </w:r>
    </w:p>
    <w:bookmarkEnd w:id="58"/>
    <w:bookmarkStart w:id="59" w:name="scenario-construction"/>
    <w:p>
      <w:pPr>
        <w:pStyle w:val="Heading2"/>
      </w:pPr>
      <w:r>
        <w:t xml:space="preserve">2.7 2030 scenario construction</w:t>
      </w:r>
    </w:p>
    <w:p>
      <w:pPr>
        <w:pStyle w:val="FirstParagraph"/>
      </w:pPr>
      <w:r>
        <w:t xml:space="preserve">The 2030 stock keeps the same households and the same raking mechanism as section 2.3, changing only</w:t>
      </w:r>
      <w:r>
        <w:t xml:space="preserve"> </w:t>
      </w:r>
      <w:r>
        <w:t xml:space="preserve">the at-home target. A linear trend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slope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fit through the 2005, 2010 and 2015</w:t>
      </w:r>
      <w:r>
        <w:t xml:space="preserve"> </w:t>
      </w:r>
      <w:r>
        <w:t xml:space="preserve">cycle’s stratum-slot at-home means, and the 2022 deviation from that trend line,</w:t>
      </w:r>
      <w:r>
        <w:t xml:space="preserve"> </w:t>
      </w:r>
      <m:oMath>
        <m:sSub>
          <m:e>
            <m:r>
              <m:rPr>
                <m:nor/>
                <m:sty m:val="p"/>
              </m:rPr>
              <m:t>jump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obs</m:t>
            </m:r>
          </m:e>
          <m:sub>
            <m:r>
              <m:t>2022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trend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(</m:t>
        </m:r>
        <m:r>
          <m:t>2022</m:t>
        </m:r>
        <m:r>
          <m:rPr>
            <m:sty m:val="p"/>
          </m:rPr>
          <m:t>)</m:t>
        </m:r>
      </m:oMath>
      <w:r>
        <w:t xml:space="preserve">, is treated as a pandemic-era</w:t>
      </w:r>
      <w:r>
        <w:t xml:space="preserve"> </w:t>
      </w:r>
      <w:r>
        <w:t xml:space="preserve">level shift that may or may not persist. Three scenarios differ only in the share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of that</w:t>
      </w:r>
      <w:r>
        <w:t xml:space="preserve"> </w:t>
      </w:r>
      <w:r>
        <w:t xml:space="preserve">shift assumed to remain in 2030: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target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stock</m:t>
                  </m:r>
                </m:e>
                <m:sub>
                  <m:r>
                    <m:t>2022</m:t>
                  </m:r>
                </m:sub>
              </m:sSub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slope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nor/>
                      <m:sty m:val="p"/>
                    </m:rPr>
                    <m:t>jump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0.5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keeps the full 2022 shift,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assumes half of it has faded, 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assumes it has fully faded and 2030 sits on the pre-2022 trend line. A second,</w:t>
      </w:r>
      <w:r>
        <w:t xml:space="preserve"> </w:t>
      </w:r>
      <w:r>
        <w:t xml:space="preserve">standardised version of the same equation,</w:t>
      </w:r>
      <w:r>
        <w:t xml:space="preserve"> </w:t>
      </w:r>
      <m:oMath>
        <m:sSub>
          <m:e>
            <m:r>
              <m:rPr>
                <m:nor/>
                <m:sty m:val="p"/>
              </m:rPr>
              <m:t>target</m:t>
            </m:r>
          </m:e>
          <m:sub>
            <m:r>
              <m:rPr>
                <m:nor/>
                <m:sty m:val="p"/>
              </m:rPr>
              <m:t>std</m:t>
            </m:r>
          </m:sub>
        </m:sSub>
      </m:oMath>
      <w:r>
        <w:t xml:space="preserve">, uses a trend and a shift</w:t>
      </w:r>
      <w:r>
        <w:t xml:space="preserve"> </w:t>
      </w:r>
      <w:r>
        <w:t xml:space="preserve">computed after reweighting every cycle’s diaries to the 2030 stock’s age-group by sex by</w:t>
      </w:r>
      <w:r>
        <w:t xml:space="preserve"> </w:t>
      </w:r>
      <w:r>
        <w:t xml:space="preserve">labour-force-status composition, reported alongside the primary version as a sensitivity check. The</w:t>
      </w:r>
      <w:r>
        <w:t xml:space="preserve"> </w:t>
      </w:r>
      <w:r>
        <w:t xml:space="preserve">result is a target array in the same form as section 2.3, raked exactly as there. This is a</w:t>
      </w:r>
      <w:r>
        <w:t xml:space="preserve"> </w:t>
      </w:r>
      <w:r>
        <w:t xml:space="preserve">scenario-based projection of a stated persistence assumption, not a forecast: no scenario claims to</w:t>
      </w:r>
      <w:r>
        <w:t xml:space="preserve"> </w:t>
      </w:r>
      <w:r>
        <w:t xml:space="preserve">predict which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will occur.</w:t>
      </w:r>
    </w:p>
    <w:bookmarkEnd w:id="59"/>
    <w:bookmarkStart w:id="60" w:name="sampling-procedure"/>
    <w:p>
      <w:pPr>
        <w:pStyle w:val="Heading2"/>
      </w:pPr>
      <w:r>
        <w:t xml:space="preserve">2.8 Sampling procedure</w:t>
      </w:r>
    </w:p>
    <w:p>
      <w:pPr>
        <w:pStyle w:val="FirstParagraph"/>
      </w:pPr>
      <w:r>
        <w:t xml:space="preserve">For each of the 24 modelled cells (4 dwelling archetypes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6 city/climate-zone stations),</w:t>
      </w:r>
      <w:r>
        <w:t xml:space="preserve"> </w:t>
      </w:r>
      <w:r>
        <w:t xml:space="preserve">the candidate pool is every household identifier present in the schedule files of all years</w:t>
      </w:r>
      <w:r>
        <w:t xml:space="preserve"> </w:t>
      </w:r>
      <w:r>
        <w:t xml:space="preserve">simulated together, restricted to that cell’s archetype and province, and further restricted to the</w:t>
      </w:r>
      <w:r>
        <w:t xml:space="preserve"> </w:t>
      </w:r>
      <w:r>
        <w:t xml:space="preserve">households whose loaded schedules pass the integration layer’s own plausibility check on the daily</w:t>
      </w:r>
      <w:r>
        <w:t xml:space="preserve"> </w:t>
      </w:r>
      <w:r>
        <w:t xml:space="preserve">occupancy pattern. The pool therefore depends on the numeric content of the schedule files, not only on</w:t>
      </w:r>
      <w:r>
        <w:t xml:space="preserve"> </w:t>
      </w:r>
      <w:r>
        <w:t xml:space="preserve">which households they list; the supplementary material states what this implies for comparing the</w:t>
      </w:r>
      <w:r>
        <w:t xml:space="preserve"> </w:t>
      </w:r>
      <w:r>
        <w:t xml:space="preserve">schedule set used in this study against an earlier one. From this pool,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households are drawn</w:t>
      </w:r>
      <w:r>
        <w:t xml:space="preserve"> </w:t>
      </w:r>
      <w:r>
        <w:t xml:space="preserve">without replacement: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sample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SRS</m:t>
              </m:r>
            </m:e>
            <m:sub>
              <m:r>
                <m:rPr>
                  <m:nor/>
                  <m:sty m:val="p"/>
                </m:rPr>
                <m:t>without replacement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pool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falling back to sampling with replacement only if the pool itself holds fewer than 50 households for</w:t>
      </w:r>
      <w:r>
        <w:t xml:space="preserve"> </w:t>
      </w:r>
      <w:r>
        <w:t xml:space="preserve">that cell (not encountered in the campaign reported in this paper). The random generator for each</w:t>
      </w:r>
      <w:r>
        <w:t xml:space="preserve"> </w:t>
      </w:r>
      <w:r>
        <w:t xml:space="preserve">cell is seeded by a fixed base seed together with a deterministic offset derived from a hash of the</w:t>
      </w:r>
      <w:r>
        <w:t xml:space="preserve"> </w:t>
      </w:r>
      <w:r>
        <w:t xml:space="preserve">cell’s own label, so that the same base seed reproduces the same 50 households for a given cell on</w:t>
      </w:r>
      <w:r>
        <w:t xml:space="preserve"> </w:t>
      </w:r>
      <w:r>
        <w:t xml:space="preserve">any machine. The same 50 households are used for every cycle-year simulated for that cell (a paired</w:t>
      </w:r>
      <w:r>
        <w:t xml:space="preserve"> </w:t>
      </w:r>
      <w:r>
        <w:t xml:space="preserve">panel): only the injected occupancy, equipment and lighting schedule changes by year, while the</w:t>
      </w:r>
      <w:r>
        <w:t xml:space="preserve"> </w:t>
      </w:r>
      <w:r>
        <w:t xml:space="preserve">building archetype and weather file are held fixed.</w:t>
      </w:r>
    </w:p>
    <w:bookmarkEnd w:id="60"/>
    <w:bookmarkStart w:id="61" w:name="stock-aggregation-weights"/>
    <w:p>
      <w:pPr>
        <w:pStyle w:val="Heading2"/>
      </w:pPr>
      <w:r>
        <w:t xml:space="preserve">2.9 Stock aggregation weights</w:t>
      </w:r>
    </w:p>
    <w:p>
      <w:pPr>
        <w:pStyle w:val="FirstParagraph"/>
      </w:pPr>
      <w:r>
        <w:t xml:space="preserve">To summarise the 24 simulated cells as one national figure, each cell’s result is weighted by its</w:t>
      </w:r>
      <w:r>
        <w:t xml:space="preserve"> </w:t>
      </w:r>
      <w:r>
        <w:t xml:space="preserve">dwelling archetype’s share of the national housing stock (an external reference composition, held</w:t>
      </w:r>
      <w:r>
        <w:t xml:space="preserve"> </w:t>
      </w:r>
      <w:r>
        <w:t xml:space="preserve">fixed across all years and not derived from this paper’s own samples), renormalised over the four</w:t>
      </w:r>
      <w:r>
        <w:t xml:space="preserve"> </w:t>
      </w:r>
      <w:r>
        <w:t xml:space="preserve">modelled archetypes, and that archetype-level weight is split equally across the (up to six) cities</w:t>
      </w:r>
      <w:r>
        <w:t xml:space="preserve"> </w:t>
      </w:r>
      <w:r>
        <w:t xml:space="preserve">that host that archetype: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C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set of cities simulated for archetype</w:t>
      </w:r>
      <w:r>
        <w:t xml:space="preserve"> </w:t>
      </w:r>
      <m:oMath>
        <m:r>
          <m:t>a</m:t>
        </m:r>
      </m:oMath>
      <w:r>
        <w:t xml:space="preserve">. A national metric is then the</w:t>
      </w:r>
      <w:r>
        <w:t xml:space="preserve"> </w:t>
      </w:r>
      <w:r>
        <w:t xml:space="preserve">weight-average of the 24 cells’ values,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t>x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; for the circular</w:t>
      </w:r>
      <w:r>
        <w:t xml:space="preserve"> </w:t>
      </w:r>
      <w:r>
        <w:t xml:space="preserve">peak-hour metric of section 2.10, the averaging is done on the sine and cosine components before</w:t>
      </w:r>
      <w:r>
        <w:t xml:space="preserve"> </w:t>
      </w:r>
      <w:r>
        <w:t xml:space="preserve">re-computing the mean angle, for the same reason circular quantities cannot be averaged directly</w:t>
      </w:r>
      <w:r>
        <w:t xml:space="preserve"> </w:t>
      </w:r>
      <w:r>
        <w:t xml:space="preserve">(the 23:00-to-00:00 wrap).</w:t>
      </w:r>
    </w:p>
    <w:bookmarkEnd w:id="61"/>
    <w:bookmarkStart w:id="62" w:name="load-shape-metrics"/>
    <w:p>
      <w:pPr>
        <w:pStyle w:val="Heading2"/>
      </w:pPr>
      <w:r>
        <w:t xml:space="preserve">2.10 Load-shape metrics</w:t>
      </w:r>
    </w:p>
    <w:p>
      <w:pPr>
        <w:pStyle w:val="FirstParagraph"/>
      </w:pPr>
      <w:r>
        <w:t xml:space="preserve">All load-shape metrics are computed from the hourly whole-building electricity meter, after</w:t>
      </w:r>
      <w:r>
        <w:t xml:space="preserve"> </w:t>
      </w:r>
      <w:r>
        <w:t xml:space="preserve">conversion from the simulator’s native energy units to kW. Annual energy is the sum of the 8,760</w:t>
      </w:r>
      <w:r>
        <w:t xml:space="preserve"> </w:t>
      </w:r>
      <w:r>
        <w:t xml:space="preserve">hourly kW values for the year. Daily peak is the mean, over the year’s days, of that day’s maximum</w:t>
      </w:r>
      <w:r>
        <w:t xml:space="preserve"> </w:t>
      </w:r>
      <w:r>
        <w:t xml:space="preserve">hourly kW. The peak hour of day is circular (0-23, wrapping at midnight), so its central tendency</w:t>
      </w:r>
      <w:r>
        <w:t xml:space="preserve"> </w:t>
      </w:r>
      <w:r>
        <w:t xml:space="preserve">uses the circular mean: with angle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for each day’s peak hour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2</m:t>
              </m:r>
              <m:r>
                <m:t>π</m:t>
              </m:r>
            </m:den>
          </m:f>
          <m:r>
            <m:t> </m:t>
          </m:r>
          <m:r>
            <m:rPr>
              <m:sty m:val="p"/>
            </m:rPr>
            <m:t>atan2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bar>
              <m:r>
                <m:rPr>
                  <m:sty m:val="p"/>
                </m:rPr>
                <m:t>,</m:t>
              </m:r>
              <m:r>
                <m:t> 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bar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24</m:t>
          </m:r>
        </m:oMath>
      </m:oMathPara>
    </w:p>
    <w:p>
      <w:pPr>
        <w:pStyle w:val="FirstParagraph"/>
      </w:pPr>
      <w:r>
        <w:t xml:space="preserve">and its dispersion is Mardia’s circular standard deviation, from the resultant length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bar>
                  <m:barPr>
                    <m:pos m:val="top"/>
                  </m:barP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ba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bar>
                  <m:barPr>
                    <m:pos m:val="top"/>
                  </m:barP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ba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sd</m:t>
              </m:r>
            </m:e>
            <m:sub>
              <m:r>
                <m:rPr>
                  <m:nor/>
                  <m:sty m:val="p"/>
                </m:rPr>
                <m:t>circ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2</m:t>
              </m:r>
              <m:r>
                <m:t>π</m:t>
              </m:r>
            </m:den>
          </m:f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R</m:t>
              </m:r>
            </m:e>
          </m:rad>
        </m:oMath>
      </m:oMathPara>
    </w:p>
    <w:p>
      <w:pPr>
        <w:pStyle w:val="FirstParagraph"/>
      </w:pPr>
      <w:r>
        <w:t xml:space="preserve">Load factor is the ratio of the year’s mean hourly load to its single annual peak hourly load,</w:t>
      </w:r>
      <w:r>
        <w:t xml:space="preserve"> </w:t>
      </w:r>
      <m:oMath>
        <m:r>
          <m:rPr>
            <m:nor/>
            <m:sty m:val="p"/>
          </m:rPr>
          <m:t>LF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P</m:t>
            </m:r>
          </m:e>
        </m:ba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 Midday share is the fraction of annual energy delivered in the</w:t>
      </w:r>
      <w:r>
        <w:t xml:space="preserve"> </w:t>
      </w:r>
      <w:r>
        <w:t xml:space="preserve">09:00-17:00 window,</w:t>
      </w:r>
      <w:r>
        <w:t xml:space="preserve"> </w:t>
      </w:r>
      <m:oMath>
        <m:r>
          <m:rPr>
            <m:nor/>
            <m:sty m:val="p"/>
          </m:rPr>
          <m:t>midday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h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9</m:t>
            </m:r>
            <m:r>
              <m:rPr>
                <m:sty m:val="p"/>
              </m:rPr>
              <m:t>,</m:t>
            </m:r>
            <m:r>
              <m:t>17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h</m:t>
                </m:r>
              </m:sub>
            </m:sSub>
          </m:e>
        </m:nary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h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h</m:t>
                </m:r>
              </m:sub>
            </m:sSub>
          </m:e>
        </m:nary>
      </m:oMath>
      <w:r>
        <w:t xml:space="preserve">. Morning-leaning share</w:t>
      </w:r>
      <w:r>
        <w:t xml:space="preserve"> </w:t>
      </w:r>
      <w:r>
        <w:t xml:space="preserve">is the fraction of units (households or days, depending on the aggregation level) whose circular</w:t>
      </w:r>
      <w:r>
        <w:t xml:space="preserve"> </w:t>
      </w:r>
      <w:r>
        <w:t xml:space="preserve">mean peak hour 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. Evening ramp is the increase in whole-building hourly load from the</w:t>
      </w:r>
      <w:r>
        <w:t xml:space="preserve"> </w:t>
      </w:r>
      <w:r>
        <w:t xml:space="preserve">14:00 hour to the 17:00 hour, averaged over the 365 days of the year,</w:t>
      </w:r>
      <w:r>
        <w:t xml:space="preserve"> </w:t>
      </w:r>
      <m:oMath>
        <m:r>
          <m:rPr>
            <m:nor/>
            <m:sty m:val="p"/>
          </m:rPr>
          <m:t>ramp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365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17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14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X6ae8ed4ef31aeeb45ef88e75c9366cb4de8f470"/>
    <w:p>
      <w:pPr>
        <w:pStyle w:val="Heading2"/>
      </w:pPr>
      <w:r>
        <w:t xml:space="preserve">2.11 Paired difference and its confidence interval</w:t>
      </w:r>
    </w:p>
    <w:p>
      <w:pPr>
        <w:pStyle w:val="FirstParagraph"/>
      </w:pPr>
      <w:r>
        <w:t xml:space="preserve">Every year-to-year or arm-to-arm comparison in this paper uses the same paired-difference</w:t>
      </w:r>
      <w:r>
        <w:t xml:space="preserve"> </w:t>
      </w:r>
      <w:r>
        <w:t xml:space="preserve">construction. For a metric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two conditions (for example, simulation years) A and B, the</w:t>
      </w:r>
      <w:r>
        <w:t xml:space="preserve"> </w:t>
      </w:r>
      <w:r>
        <w:t xml:space="preserve">household-level results are joined on the household’s identifying key (archetype, city, household</w:t>
      </w:r>
      <w:r>
        <w:t xml:space="preserve"> </w:t>
      </w:r>
      <w:r>
        <w:t xml:space="preserve">identifier), keeping only households present under both conditions, and the paired difference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pStyle w:val="FirstParagraph"/>
      </w:pPr>
      <w:r>
        <w:t xml:space="preserve">for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households. The reported interval is the standard pooled paired</w:t>
      </w:r>
      <w:r>
        <w:t xml:space="preserve"> </w:t>
      </w:r>
      <w:r>
        <w:t xml:space="preserve">Student-t 95% confidence interval on the mean difference,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d</m:t>
              </m:r>
            </m:e>
          </m:acc>
          <m:r>
            <m:t> </m:t>
          </m:r>
          <m:r>
            <m:rPr>
              <m:sty m:val="p"/>
            </m:rPr>
            <m:t>±</m:t>
          </m:r>
          <m:r>
            <m:t> </m:t>
          </m:r>
          <m:sSub>
            <m:e>
              <m:r>
                <m:t>t</m:t>
              </m:r>
            </m:e>
            <m:sub>
              <m:r>
                <m:t>0.975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 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d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the sample standard deviation of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across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households (pooled</w:t>
      </w:r>
      <w:r>
        <w:t xml:space="preserve"> </w:t>
      </w:r>
      <w:r>
        <w:t xml:space="preserve">across every simulated cell, not computed separately per cell), and a one-sample t-test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reported alongside it. A difference is treated as separable from zero only when</w:t>
      </w:r>
      <w:r>
        <w:t xml:space="preserve"> </w:t>
      </w:r>
      <w:r>
        <w:t xml:space="preserve">this interval excludes zero. This interval treats households as independent and does not account for</w:t>
      </w:r>
      <w:r>
        <w:t xml:space="preserve"> </w:t>
      </w:r>
      <w:r>
        <w:t xml:space="preserve">households sharing a city or an archetype; the consequence of that clustering is examined in the</w:t>
      </w:r>
      <w:r>
        <w:t xml:space="preserve"> </w:t>
      </w:r>
      <w:r>
        <w:t xml:space="preserve">Supplementary Information.</w:t>
      </w:r>
    </w:p>
    <w:bookmarkEnd w:id="63"/>
    <w:bookmarkStart w:id="64" w:name="comparison-arms"/>
    <w:p>
      <w:pPr>
        <w:pStyle w:val="Heading2"/>
      </w:pPr>
      <w:r>
        <w:t xml:space="preserve">2.12 Comparison arms</w:t>
      </w:r>
    </w:p>
    <w:p>
      <w:pPr>
        <w:pStyle w:val="FirstParagraph"/>
      </w:pPr>
      <w:r>
        <w:t xml:space="preserve">Two simplified scheduling methods are run against the same sampled households and the same</w:t>
      </w:r>
      <w:r>
        <w:t xml:space="preserve"> </w:t>
      </w:r>
      <w:r>
        <w:t xml:space="preserve">per-household calibrated design powers as the full framework, to isolate what the framework’s</w:t>
      </w:r>
      <w:r>
        <w:t xml:space="preserve"> </w:t>
      </w:r>
      <w:r>
        <w:t xml:space="preserve">diary-based schedule contributes.</w:t>
      </w:r>
    </w:p>
    <w:p>
      <w:pPr>
        <w:pStyle w:val="BodyText"/>
      </w:pPr>
      <w:r>
        <w:t xml:space="preserve">The fixed-schedule arm replaces the household’s own occupancy, equipment and lighting schedule with</w:t>
      </w:r>
      <w:r>
        <w:t xml:space="preserve"> </w:t>
      </w:r>
      <w:r>
        <w:t xml:space="preserve">a single reference schedule (the standard residential mid-rise weekday/weekend profile shipped with</w:t>
      </w:r>
      <w:r>
        <w:t xml:space="preserve"> </w:t>
      </w:r>
      <w:r>
        <w:t xml:space="preserve">the building-model templates) that does not depend on the household, the archetype, or the simulated</w:t>
      </w:r>
      <w:r>
        <w:t xml:space="preserve"> </w:t>
      </w:r>
      <w:r>
        <w:t xml:space="preserve">year: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nor/>
                  <m:sty m:val="p"/>
                </m:rPr>
                <m:t>fixed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t>  </m:t>
          </m:r>
          <m:r>
            <m:rPr>
              <m:nor/>
              <m:sty m:val="p"/>
            </m:rPr>
            <m:t>for every household </m:t>
          </m:r>
          <m:r>
            <m:t>h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average-survey-profile arm instead uses the framework’s own diaries, but removes all</w:t>
      </w:r>
      <w:r>
        <w:t xml:space="preserve"> </w:t>
      </w:r>
      <w:r>
        <w:t xml:space="preserve">household-to-household variation within a cell by assigning every sampled household the same,</w:t>
      </w:r>
      <w:r>
        <w:t xml:space="preserve"> </w:t>
      </w:r>
      <w:r>
        <w:t xml:space="preserve">cell-level average profile for that year: for cell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year</w:t>
      </w:r>
      <w:r>
        <w:t xml:space="preserve"> </w:t>
      </w:r>
      <m:oMath>
        <m:r>
          <m:t>y</m:t>
        </m:r>
      </m:oMath>
      <w:r>
        <w:t xml:space="preserve">, with</w:t>
      </w:r>
      <w:r>
        <w:t xml:space="preserve"> </w:t>
      </w:r>
      <m:oMath>
        <m:sSub>
          <m:e>
            <m:r>
              <m:rPr>
                <m:nor/>
                <m:sty m:val="p"/>
              </m:rPr>
              <m:t>Pool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the full</w:t>
      </w:r>
      <w:r>
        <w:t xml:space="preserve"> </w:t>
      </w:r>
      <w:r>
        <w:t xml:space="preserve">candidate population of that cell (not only the 50 sampled households),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nor/>
                  <m:sty m:val="p"/>
                </m:rPr>
                <m:t>avg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nor/>
                      <m:sty m:val="p"/>
                    </m:rPr>
                    <m:t>Pool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h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Pool</m:t>
                  </m:r>
                </m:e>
                <m:sub>
                  <m:r>
                    <m:t>c</m:t>
                  </m:r>
                </m:sub>
              </m:sSub>
            </m:sub>
            <m:sup>
              <m:r>
                <m:t>​</m:t>
              </m:r>
            </m:sup>
            <m:e>
              <m:sSubSup>
                <m:e>
                  <m:r>
                    <m:t>S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r>
                    <m:rPr>
                      <m:nor/>
                      <m:sty m:val="p"/>
                    </m:rPr>
                    <m:t>full</m:t>
                  </m:r>
                </m:sup>
              </m:sSubSup>
            </m:e>
          </m:nary>
          <m:r>
            <m:t>  </m:t>
          </m:r>
          <m:r>
            <m:rPr>
              <m:nor/>
              <m:sty m:val="p"/>
            </m:rPr>
            <m:t>for every sampled household in </m:t>
          </m:r>
          <m:r>
            <m:t>c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applied identically to the occupancy, equipment fraction, lighting fraction and metabolic series;</w:t>
      </w:r>
      <w:r>
        <w:t xml:space="preserve"> </w:t>
      </w:r>
      <w:r>
        <w:t xml:space="preserve">each household’s own SHEU-calibrated design powers (section 2.6) are kept, so only the sub-daily</w:t>
      </w:r>
      <w:r>
        <w:t xml:space="preserve"> </w:t>
      </w:r>
      <w:r>
        <w:t xml:space="preserve">shape is replaced, not the annual scale.</w:t>
      </w:r>
    </w:p>
    <w:bookmarkEnd w:id="64"/>
    <w:bookmarkStart w:id="65" w:name="symbol-list"/>
    <w:p>
      <w:pPr>
        <w:pStyle w:val="Heading2"/>
      </w:pPr>
      <w:r>
        <w:t xml:space="preserve">Symbol list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: day-type stratum (weekday, Saturday, Sunday), or archetype index in section 2.9 where noted.</w:t>
      </w:r>
    </w:p>
    <w:p>
      <w:pPr>
        <w:pStyle w:val="Compact"/>
        <w:numPr>
          <w:ilvl w:val="0"/>
          <w:numId w:val="1004"/>
        </w:numPr>
      </w:pPr>
      <m:oMath>
        <m:r>
          <m:t>t</m:t>
        </m:r>
      </m:oMath>
      <w:r>
        <w:t xml:space="preserve">: a 30-minute slot index,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48</m:t>
        </m:r>
      </m:oMath>
      <w:r>
        <w:t xml:space="preserve">, 04:00 origin.</w:t>
      </w:r>
    </w:p>
    <w:p>
      <w:pPr>
        <w:pStyle w:val="Compact"/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,</m:t>
        </m:r>
        <m:r>
          <m:t>k</m:t>
        </m:r>
      </m:oMath>
      <w:r>
        <w:t xml:space="preserve">: an hour-of-day index,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23</m:t>
        </m:r>
      </m:oMath>
      <w:r>
        <w:t xml:space="preserve"> </w:t>
      </w:r>
      <w:r>
        <w:t xml:space="preserve">(clock time) or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24</m:t>
        </m:r>
      </m:oMath>
      <w:r>
        <w:t xml:space="preserve"> </w:t>
      </w:r>
      <w:r>
        <w:t xml:space="preserve">(position).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nor/>
                <m:sty m:val="p"/>
              </m:rPr>
              <m:t>act30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hom30</m:t>
            </m:r>
          </m:e>
          <m:sub>
            <m:r>
              <m:t>t</m:t>
            </m:r>
          </m:sub>
        </m:sSub>
      </m:oMath>
      <w:r>
        <w:t xml:space="preserve">: the 48-slot activity code and at-home indicator for one diary-day.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M</m:t>
            </m:r>
          </m:e>
          <m:sub>
            <m:r>
              <m:t>h</m:t>
            </m:r>
          </m:sub>
        </m:sSub>
      </m:oMath>
      <w:r>
        <w:t xml:space="preserve">: number of member diary-days of household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pooled into one day type.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an external target at-home rate for stratum</w:t>
      </w:r>
      <w:r>
        <w:t xml:space="preserve"> </w:t>
      </w:r>
      <m:oMath>
        <m:r>
          <m:t>s</m:t>
        </m:r>
      </m:oMath>
      <w:r>
        <w:t xml:space="preserve">, slot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: number of diary-days in stratum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being raked.</w:t>
      </w:r>
    </w:p>
    <w:p>
      <w:pPr>
        <w:pStyle w:val="Compact"/>
        <w:numPr>
          <w:ilvl w:val="0"/>
          <w:numId w:val="1004"/>
        </w:numPr>
      </w:pPr>
      <m:oMath>
        <m:r>
          <m:t>λ</m:t>
        </m:r>
      </m:oMath>
      <w:r>
        <w:t xml:space="preserve">: the work-from-home persistence share retained in the 2030 scenario,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act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home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cop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marg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aux</m:t>
            </m:r>
          </m:sub>
        </m:sSub>
      </m:oMath>
      <w:r>
        <w:t xml:space="preserve">: fixed training loss weights (Eq. 3).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w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: national dwelling-stock share of archetype</w:t>
      </w:r>
      <w:r>
        <w:t xml:space="preserve"> </w:t>
      </w:r>
      <m:oMath>
        <m:r>
          <m:t>a</m:t>
        </m:r>
      </m:oMath>
      <w:r>
        <w:t xml:space="preserve">, and its per-city split.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shared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personal</m:t>
            </m:r>
          </m:sub>
        </m:sSub>
      </m:oMath>
      <w:r>
        <w:t xml:space="preserve">: appliance categories used once per household, or once per present person.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 fixed weight of activity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toward appliance category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t xml:space="preserve">: fixed rated power of appliance category</w:t>
      </w:r>
      <w:r>
        <w:t xml:space="preserve"> </w:t>
      </w:r>
      <m:oMath>
        <m:r>
          <m:t>b</m:t>
        </m:r>
      </m:oMath>
      <w:r>
        <w:t xml:space="preserve">, and the fixed baseload power.</w:t>
      </w:r>
    </w:p>
    <w:p>
      <w:pPr>
        <w:pStyle w:val="Compact"/>
        <w:numPr>
          <w:ilvl w:val="0"/>
          <w:numId w:val="1004"/>
        </w:numPr>
      </w:pPr>
      <m:oMath>
        <m:r>
          <m:t>η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: fixed diminishing-returns factor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co-present members sharing a device.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f</m:t>
            </m:r>
          </m:e>
          <m:sub>
            <m:r>
              <m:t>e</m:t>
            </m:r>
          </m:sub>
        </m:sSub>
      </m:oMath>
      <w:r>
        <w:t xml:space="preserve">: the equipment calibration scalar, target annual energy divided by raw annual energy (Eq. 9).</w:t>
      </w:r>
    </w:p>
    <w:p>
      <w:pPr>
        <w:pStyle w:val="Compact"/>
        <w:numPr>
          <w:ilvl w:val="0"/>
          <w:numId w:val="1004"/>
        </w:numPr>
      </w:pPr>
      <m:oMath>
        <m:r>
          <m:t>R</m:t>
        </m:r>
      </m:oMath>
      <w:r>
        <w:t xml:space="preserve">: the resultant vector length of a circular mean (Eq. 14);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sd</m:t>
            </m:r>
          </m:e>
          <m:sub>
            <m:r>
              <m:rPr>
                <m:nor/>
                <m:sty m:val="p"/>
              </m:rPr>
              <m:t>circ</m:t>
            </m:r>
          </m:sub>
        </m:sSub>
      </m:oMath>
      <w:r>
        <w:t xml:space="preserve">: circular mean and standard deviation of an hour-of-day quantity.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: the paired difference in a metric for household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 two conditions;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: its mean and standard deviation across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households.</w:t>
      </w:r>
    </w:p>
    <w:bookmarkEnd w:id="65"/>
    <w:bookmarkEnd w:id="66"/>
    <w:bookmarkStart w:id="96" w:name="results"/>
    <w:p>
      <w:pPr>
        <w:pStyle w:val="Heading1"/>
      </w:pPr>
      <w:r>
        <w:t xml:space="preserve">3. Results</w:t>
      </w:r>
    </w:p>
    <w:p>
      <w:pPr>
        <w:pStyle w:val="FirstParagraph"/>
      </w:pPr>
      <w:r>
        <w:t xml:space="preserve">The subsections below trace one path through the pipeline: how the at-home pattern itself</w:t>
      </w:r>
      <w:r>
        <w:t xml:space="preserve"> </w:t>
      </w:r>
      <w:r>
        <w:t xml:space="preserve">differs between 2022 and three stated 2030 assumptions (3.1, 3.2), what that does to annual</w:t>
      </w:r>
      <w:r>
        <w:t xml:space="preserve"> </w:t>
      </w:r>
      <w:r>
        <w:t xml:space="preserve">electricity by end use (3.3), how it reshapes the daily load curve (3.4), what a simplified</w:t>
      </w:r>
      <w:r>
        <w:t xml:space="preserve"> </w:t>
      </w:r>
      <w:r>
        <w:t xml:space="preserve">average-profile scheduling method would have shown instead on the same households (3.5), how the</w:t>
      </w:r>
      <w:r>
        <w:t xml:space="preserve"> </w:t>
      </w:r>
      <w:r>
        <w:t xml:space="preserve">simulated load shape compares with a year of real measured data for one city (3.6), and two</w:t>
      </w:r>
      <w:r>
        <w:t xml:space="preserve"> </w:t>
      </w:r>
      <w:r>
        <w:t xml:space="preserve">robustness checks reported briefly here with full detail in the Supplementary Information (3.7,</w:t>
      </w:r>
      <w:r>
        <w:t xml:space="preserve"> </w:t>
      </w:r>
      <w:r>
        <w:t xml:space="preserve">3.8).</w:t>
      </w:r>
    </w:p>
    <w:bookmarkStart w:id="70" w:name="occupancy-change"/>
    <w:p>
      <w:pPr>
        <w:pStyle w:val="Heading2"/>
      </w:pPr>
      <w:r>
        <w:t xml:space="preserve">3.1 Occupancy change</w:t>
      </w:r>
    </w:p>
    <w:p>
      <w:pPr>
        <w:pStyle w:val="FirstParagraph"/>
      </w:pPr>
      <w:r>
        <w:t xml:space="preserve">The at-home occupancy series is built on a stock frame of 144,465 census households (Section 2.5,</w:t>
      </w:r>
      <w:r>
        <w:t xml:space="preserve"> </w:t>
      </w:r>
      <w:r>
        <w:t xml:space="preserve">Section 2.9), covering the 2022 survey cycle directly and four 2030 variants built from the</w:t>
      </w:r>
      <w:r>
        <w:t xml:space="preserve"> </w:t>
      </w:r>
      <w:r>
        <w:t xml:space="preserve">scenario construction of Section 2.7. The values below are read at one representative point, a</w:t>
      </w:r>
      <w:r>
        <w:t xml:space="preserve"> </w:t>
      </w:r>
      <w:r>
        <w:t xml:space="preserve">weekday at noon (hour 12), with the full 24-hour, weekday-and-weekend series shown in Figure</w:t>
      </w:r>
      <w:r>
        <w:t xml:space="preserve"> </w:t>
      </w:r>
      <w:r>
        <w:t xml:space="preserve">2.</w:t>
      </w:r>
    </w:p>
    <w:p>
      <w:pPr>
        <w:pStyle w:val="BodyText"/>
      </w:pPr>
      <w:r>
        <w:t xml:space="preserve">At weekday noon in 2022, 47.8 percent of the stock is at home. For 2030, four variants were run</w:t>
      </w:r>
      <w:r>
        <w:t xml:space="preserve"> </w:t>
      </w:r>
      <w:r>
        <w:t xml:space="preserve">side by side rather than a single projection: a main scenario that assumes the pandemic-era rise in</w:t>
      </w:r>
      <w:r>
        <w:t xml:space="preserve"> </w:t>
      </w:r>
      <w:r>
        <w:t xml:space="preserve">at-home behaviour persists in full (47.8 percent moving to 50.1 percent); a partial-persistence</w:t>
      </w:r>
      <w:r>
        <w:t xml:space="preserve"> </w:t>
      </w:r>
      <w:r>
        <w:t xml:space="preserve">scenario that assumes half of that shift has faded by 2030 (46.2 percent); a full-reversion scenario</w:t>
      </w:r>
      <w:r>
        <w:t xml:space="preserve"> </w:t>
      </w:r>
      <w:r>
        <w:t xml:space="preserve">that assumes the shift has faded completely and 2030 sits back on the pre-pandemic trend (42.3</w:t>
      </w:r>
      <w:r>
        <w:t xml:space="preserve"> </w:t>
      </w:r>
      <w:r>
        <w:t xml:space="preserve">percent); and a no-change control that reproduces the 2022 pattern unmodified (47.8 percent,</w:t>
      </w:r>
      <w:r>
        <w:t xml:space="preserve"> </w:t>
      </w:r>
      <w:r>
        <w:t xml:space="preserve">identical to the 2022 value to the last reported digit, itself an acceptance check on the</w:t>
      </w:r>
      <w:r>
        <w:t xml:space="preserve"> </w:t>
      </w:r>
      <w:r>
        <w:t xml:space="preserve">scenario-construction code rather than a scenario in its own right). These four numbers describe</w:t>
      </w:r>
      <w:r>
        <w:t xml:space="preserve"> </w:t>
      </w:r>
      <w:r>
        <w:t xml:space="preserve">the household schedules built under each stated persistence assumption (Section 2.7); they are a</w:t>
      </w:r>
      <w:r>
        <w:t xml:space="preserve"> </w:t>
      </w:r>
      <w:r>
        <w:t xml:space="preserve">designed comparison of assumptions, not a claim that any single one of them is what will actually</w:t>
      </w:r>
      <w:r>
        <w:t xml:space="preserve"> </w:t>
      </w:r>
      <w:r>
        <w:t xml:space="preserve">occur in 2030.</w:t>
      </w:r>
    </w:p>
    <w:p>
      <w:pPr>
        <w:pStyle w:val="BodyText"/>
      </w:pPr>
      <w:r>
        <w:t xml:space="preserve">Averaged over the whole weekday, 74.4 percent of household-hours are spent at home in 2022. The</w:t>
      </w:r>
      <w:r>
        <w:t xml:space="preserve"> </w:t>
      </w:r>
      <w:r>
        <w:t xml:space="preserve">three 2030 scenarios move this whole-day weekday share by 1.49 percentage points (main scenario),</w:t>
      </w:r>
      <w:r>
        <w:t xml:space="preserve"> </w:t>
      </w:r>
      <w:r>
        <w:t xml:space="preserve">negative 0.85 percentage points (partial persistence) and negative 3.21 percentage points (full</w:t>
      </w:r>
      <w:r>
        <w:t xml:space="preserve"> </w:t>
      </w:r>
      <w:r>
        <w:t xml:space="preserve">reversion); these are the designed steps from 2022, not attained targets. The pandemic-era break</w:t>
      </w:r>
      <w:r>
        <w:t xml:space="preserve"> </w:t>
      </w:r>
      <w:r>
        <w:t xml:space="preserve">that the scenarios carry forward or remove is measured on the survey respondents themselves: in</w:t>
      </w:r>
      <w:r>
        <w:t xml:space="preserve"> </w:t>
      </w:r>
      <w:r>
        <w:t xml:space="preserve">2022 the national weekday at-home rate sits 4.73 percentage points above where the 2005 to 2015</w:t>
      </w:r>
      <w:r>
        <w:t xml:space="preserve"> </w:t>
      </w:r>
      <w:r>
        <w:t xml:space="preserve">trend would have placed it, and 7.67 percentage points above it when every survey cycle is first</w:t>
      </w:r>
      <w:r>
        <w:t xml:space="preserve"> </w:t>
      </w:r>
      <w:r>
        <w:t xml:space="preserve">reweighted to the housing stock’s age, sex and labour-force mix (the standardized sensitivity behind the</w:t>
      </w:r>
      <w:r>
        <w:t xml:space="preserve"> </w:t>
      </w:r>
      <w:r>
        <w:t xml:space="preserve">standardized-reversion variant). The main scenario keeps that break and adds the 2005 to 2015</w:t>
      </w:r>
      <w:r>
        <w:t xml:space="preserve"> </w:t>
      </w:r>
      <w:r>
        <w:t xml:space="preserve">trend carried forward, which is why its step (1.49 percentage points) is positive; the full-reversion</w:t>
      </w:r>
      <w:r>
        <w:t xml:space="preserve"> </w:t>
      </w:r>
      <w:r>
        <w:t xml:space="preserve">scenario removes the break and keeps the trend, which is why its step is negative.</w:t>
      </w:r>
    </w:p>
    <w:p>
      <w:pPr>
        <w:pStyle w:val="BodyText"/>
      </w:pPr>
      <w:r>
        <w:drawing>
          <wp:inline>
            <wp:extent cx="5334000" cy="231991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../impl/T76_out/fig01_athome_by_hour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Weekday and weekend at-home</w:t>
      </w:r>
      <w:r>
        <w:t xml:space="preserve"> </w:t>
      </w:r>
      <w:r>
        <w:t xml:space="preserve">fraction by hour of day, 2022 stock baseline and four 2030 variants (main persistence scenario,</w:t>
      </w:r>
      <w:r>
        <w:t xml:space="preserve"> </w:t>
      </w:r>
      <w:r>
        <w:t xml:space="preserve">partial-persistence scenario, full-reversion scenario, no-change control), on the 144,465-household</w:t>
      </w:r>
      <w:r>
        <w:t xml:space="preserve"> </w:t>
      </w:r>
      <w:r>
        <w:t xml:space="preserve">stock frame.</w:t>
      </w:r>
    </w:p>
    <w:bookmarkEnd w:id="70"/>
    <w:bookmarkStart w:id="71" w:name="the-2030-scenarios"/>
    <w:p>
      <w:pPr>
        <w:pStyle w:val="Heading2"/>
      </w:pPr>
      <w:r>
        <w:t xml:space="preserve">3.2 The 2030 scenarios</w:t>
      </w:r>
    </w:p>
    <w:p>
      <w:pPr>
        <w:pStyle w:val="FirstParagraph"/>
      </w:pPr>
      <w:r>
        <w:t xml:space="preserve">Three named 2030 scenarios, plus one standardized sensitivity variant, are compared on the</w:t>
      </w:r>
      <w:r>
        <w:t xml:space="preserve"> </w:t>
      </w:r>
      <w:r>
        <w:t xml:space="preserve">households they share. The four scenario arms were built and sampled independently and do not all</w:t>
      </w:r>
      <w:r>
        <w:t xml:space="preserve"> </w:t>
      </w:r>
      <w:r>
        <w:t xml:space="preserve">cover the same households (1,200 for the main scenario, 1,198 for the full-reversion scenario, 1,200</w:t>
      </w:r>
      <w:r>
        <w:t xml:space="preserve"> </w:t>
      </w:r>
      <w:r>
        <w:t xml:space="preserve">for the partial-persistence scenario and 1,199 for the standardized-reversion variant); every</w:t>
      </w:r>
      <w:r>
        <w:t xml:space="preserve"> </w:t>
      </w:r>
      <w:r>
        <w:t xml:space="preserve">cross-scenario comparison in this subsection, and in Figures 4 and 6, uses</w:t>
      </w:r>
      <w:r>
        <w:t xml:space="preserve"> </w:t>
      </w:r>
      <w:r>
        <w:t xml:space="preserve">only the 1,198 households present in all four arms. This restriction is stated once here rather than</w:t>
      </w:r>
      <w:r>
        <w:t xml:space="preserve"> </w:t>
      </w:r>
      <w:r>
        <w:t xml:space="preserve">repeated at every number below.</w:t>
      </w:r>
    </w:p>
    <w:p>
      <w:pPr>
        <w:pStyle w:val="BodyText"/>
      </w:pPr>
      <w:r>
        <w:t xml:space="preserve">Under the full-reversion scenario (code S-None), stock-weighted whole-building electricity use falls</w:t>
      </w:r>
      <w:r>
        <w:t xml:space="preserve"> </w:t>
      </w:r>
      <w:r>
        <w:t xml:space="preserve">by 0.1225 percent from 2022 to 2030 (95 percent confidence interval negative 0.1480 to negative</w:t>
      </w:r>
      <w:r>
        <w:t xml:space="preserve"> </w:t>
      </w:r>
      <w:r>
        <w:t xml:space="preserve">0.0964 percent), a real change since the interval excludes zero. Under the partial-persistence</w:t>
      </w:r>
      <w:r>
        <w:t xml:space="preserve"> </w:t>
      </w:r>
      <w:r>
        <w:t xml:space="preserve">scenario (code S-Partial), the equivalent change is 0.0117 percent with a confidence interval of</w:t>
      </w:r>
      <w:r>
        <w:t xml:space="preserve"> </w:t>
      </w:r>
      <w:r>
        <w:t xml:space="preserve">negative 0.0065 to 0.0351 percent: because that interval contains zero, this is no detectable change</w:t>
      </w:r>
      <w:r>
        <w:t xml:space="preserve"> </w:t>
      </w:r>
      <w:r>
        <w:t xml:space="preserve">at this sample size, not an increase. Under the standardized-reversion variant (code S-Revert-std,</w:t>
      </w:r>
      <w:r>
        <w:t xml:space="preserve"> </w:t>
      </w:r>
      <w:r>
        <w:t xml:space="preserve">built with the trend and the pandemic-era jump recomputed after reweighting every survey cycle to</w:t>
      </w:r>
      <w:r>
        <w:t xml:space="preserve"> </w:t>
      </w:r>
      <w:r>
        <w:t xml:space="preserve">the housing stock’s age, sex and labour-force mix), whole-building electricity falls by 0.4408 percent (95</w:t>
      </w:r>
      <w:r>
        <w:t xml:space="preserve"> </w:t>
      </w:r>
      <w:r>
        <w:t xml:space="preserve">percent confidence interval negative 0.4668 to negative 0.4136 percent), the largest change of the</w:t>
      </w:r>
      <w:r>
        <w:t xml:space="preserve"> </w:t>
      </w:r>
      <w:r>
        <w:t xml:space="preserve">three scenario arms. Across all eight end-use meters and all three scenario arms, fan electricity</w:t>
      </w:r>
      <w:r>
        <w:t xml:space="preserve"> </w:t>
      </w:r>
      <w:r>
        <w:t xml:space="preserve">shows no change in any arm (0.0 percent, interval 0.0 to 0.0), read directly from each arm’s own</w:t>
      </w:r>
      <w:r>
        <w:t xml:space="preserve"> </w:t>
      </w:r>
      <w:r>
        <w:t xml:space="preserve">file rather than assumed.</w:t>
      </w:r>
    </w:p>
    <w:p>
      <w:pPr>
        <w:pStyle w:val="BodyText"/>
      </w:pPr>
      <w:r>
        <w:t xml:space="preserve">The same pattern holds for the load-shape metrics. Under the full-reversion scenario, midday energy</w:t>
      </w:r>
      <w:r>
        <w:t xml:space="preserve"> </w:t>
      </w:r>
      <w:r>
        <w:t xml:space="preserve">share changes by negative 0.127 percentage points (95 percent confidence interval negative 0.307 to</w:t>
      </w:r>
      <w:r>
        <w:t xml:space="preserve"> </w:t>
      </w:r>
      <w:r>
        <w:t xml:space="preserve">positive 0.061 percentage points): no detectable change at this sample size. Under the</w:t>
      </w:r>
      <w:r>
        <w:t xml:space="preserve"> </w:t>
      </w:r>
      <w:r>
        <w:t xml:space="preserve">partial-persistence scenario, load factor changes by 0.026 percentage points (95 percent confidence</w:t>
      </w:r>
      <w:r>
        <w:t xml:space="preserve"> </w:t>
      </w:r>
      <w:r>
        <w:t xml:space="preserve">interval negative 0.042 to positive 0.092 percentage points): also no detectable change. Under the</w:t>
      </w:r>
      <w:r>
        <w:t xml:space="preserve"> </w:t>
      </w:r>
      <w:r>
        <w:t xml:space="preserve">standardized-reversion variant, both shape metrics show a change that excludes zero: midday share</w:t>
      </w:r>
      <w:r>
        <w:t xml:space="preserve"> </w:t>
      </w:r>
      <w:r>
        <w:t xml:space="preserve">falls by 1.383 percentage points (95 percent confidence interval negative 1.610 to negative 1.138)</w:t>
      </w:r>
      <w:r>
        <w:t xml:space="preserve"> </w:t>
      </w:r>
      <w:r>
        <w:t xml:space="preserve">and load factor falls by 1.365 percentage points (95 percent confidence interval negative 1.475 to</w:t>
      </w:r>
      <w:r>
        <w:t xml:space="preserve"> </w:t>
      </w:r>
      <w:r>
        <w:t xml:space="preserve">negative 1.253). This is the most clearly separable shape change among the three scenario arms.</w:t>
      </w:r>
    </w:p>
    <w:bookmarkEnd w:id="71"/>
    <w:bookmarkStart w:id="75" w:name="annual-energy-by-end-use"/>
    <w:p>
      <w:pPr>
        <w:pStyle w:val="Heading2"/>
      </w:pPr>
      <w:r>
        <w:t xml:space="preserve">3.3 Annual energy by end use</w:t>
      </w:r>
    </w:p>
    <w:p>
      <w:pPr>
        <w:pStyle w:val="FirstParagraph"/>
      </w:pPr>
      <w:r>
        <w:t xml:space="preserve">Under the main scenario, annual electricity is nearly flat: whole-building electricity use, weighted</w:t>
      </w:r>
      <w:r>
        <w:t xml:space="preserve"> </w:t>
      </w:r>
      <w:r>
        <w:t xml:space="preserve">to the national housing stock, rises by 0.1209 percent from 2022 to 2030 (95 percent confidence</w:t>
      </w:r>
      <w:r>
        <w:t xml:space="preserve"> </w:t>
      </w:r>
      <w:r>
        <w:t xml:space="preserve">interval 0.0981 to 0.1407 percent), a small but real change since the interval excludes zero.</w:t>
      </w:r>
      <w:r>
        <w:t xml:space="preserve"> </w:t>
      </w:r>
      <w:r>
        <w:t xml:space="preserve">Underneath that near-flat total, the mix of end uses, and (Section 3.4) the timing of demand, move</w:t>
      </w:r>
      <w:r>
        <w:t xml:space="preserve"> </w:t>
      </w:r>
      <w:r>
        <w:t xml:space="preserve">more than the total does; that is the pattern the rest of this Results section documents. At the</w:t>
      </w:r>
      <w:r>
        <w:t xml:space="preserve"> </w:t>
      </w:r>
      <w:r>
        <w:t xml:space="preserve">stock level, whole-building electricity use is 117,942.5 kWh in 2022 and 118,049.8 kWh in</w:t>
      </w:r>
      <w:r>
        <w:t xml:space="preserve"> </w:t>
      </w:r>
      <w:r>
        <w:t xml:space="preserve">2030, on a simulated stock of 1,200 households, 300 per archetype (Figure 3).</w:t>
      </w:r>
    </w:p>
    <w:p>
      <w:pPr>
        <w:pStyle w:val="BodyText"/>
      </w:pPr>
      <w:r>
        <w:t xml:space="preserve">Among the individual meters, interior lighting falls by 0.0157 percent (95 percent confidence</w:t>
      </w:r>
      <w:r>
        <w:t xml:space="preserve"> </w:t>
      </w:r>
      <w:r>
        <w:t xml:space="preserve">interval negative 0.0274 to negative 0.0043 percent) and interior equipment falls by 0.0066 percent</w:t>
      </w:r>
      <w:r>
        <w:t xml:space="preserve"> </w:t>
      </w:r>
      <w:r>
        <w:t xml:space="preserve">(95 percent confidence interval negative 0.0119 to negative 0.0012 percent); both exclude zero. Fan</w:t>
      </w:r>
      <w:r>
        <w:t xml:space="preserve"> </w:t>
      </w:r>
      <w:r>
        <w:t xml:space="preserve">electricity shows no change (0.0 percent, interval 0.0 to 0.0). Heating energy transfer falls by</w:t>
      </w:r>
      <w:r>
        <w:t xml:space="preserve"> </w:t>
      </w:r>
      <w:r>
        <w:t xml:space="preserve">0.2905 percent (95 percent confidence interval negative 0.4049 to negative 0.1746 percent). Cooling</w:t>
      </w:r>
      <w:r>
        <w:t xml:space="preserve"> </w:t>
      </w:r>
      <w:r>
        <w:t xml:space="preserve">energy transfer rises by 0.5947 percent (95 percent confidence interval 0.5235 to 0.6523 percent),</w:t>
      </w:r>
      <w:r>
        <w:t xml:space="preserve"> </w:t>
      </w:r>
      <w:r>
        <w:t xml:space="preserve">water-systems energy transfer rises by 0.5806 percent (95 percent confidence interval 0.3419 to</w:t>
      </w:r>
      <w:r>
        <w:t xml:space="preserve"> </w:t>
      </w:r>
      <w:r>
        <w:t xml:space="preserve">0.7845 percent), and the remaining HVAC-and-domestic-hot-water electricity rises by 0.3578 percent</w:t>
      </w:r>
      <w:r>
        <w:t xml:space="preserve"> </w:t>
      </w:r>
      <w:r>
        <w:t xml:space="preserve">(95 percent confidence interval 0.2863 to 0.4166 percent); all three exclude zero. Heating, cooling,</w:t>
      </w:r>
      <w:r>
        <w:t xml:space="preserve"> </w:t>
      </w:r>
      <w:r>
        <w:t xml:space="preserve">water systems, and the HVAC and domestic-hot-water remainder are reported only at the whole-building</w:t>
      </w:r>
      <w:r>
        <w:t xml:space="preserve"> </w:t>
      </w:r>
      <w:r>
        <w:t xml:space="preserve">level, since no per-dwelling divisor exists for these meters. Per-dwelling annual energy is reported</w:t>
      </w:r>
      <w:r>
        <w:t xml:space="preserve"> </w:t>
      </w:r>
      <w:r>
        <w:t xml:space="preserve">only for equipment and lighting, the two meters with a defined per-dwelling divisor: stock-weighted</w:t>
      </w:r>
      <w:r>
        <w:t xml:space="preserve"> </w:t>
      </w:r>
      <w:r>
        <w:t xml:space="preserve">interior lighting falls from 1,062.7 to 1,062.6 kWh per dwelling per year, and interior equipment</w:t>
      </w:r>
      <w:r>
        <w:t xml:space="preserve"> </w:t>
      </w:r>
      <w:r>
        <w:t xml:space="preserve">falls from 3,075.5 to 3,075.3 kWh per dwelling per year (levels, not a bootstrapped change).</w:t>
      </w:r>
    </w:p>
    <w:p>
      <w:pPr>
        <w:pStyle w:val="BodyText"/>
      </w:pPr>
      <w:r>
        <w:t xml:space="preserve">As an additional check, equipment and lighting energy were compared against their fitted SHEU</w:t>
      </w:r>
      <w:r>
        <w:t xml:space="preserve"> </w:t>
      </w:r>
      <w:r>
        <w:t xml:space="preserve">calibration target using a check that compares simulated and survey end-use totals; this is a</w:t>
      </w:r>
      <w:r>
        <w:t xml:space="preserve"> </w:t>
      </w:r>
      <w:r>
        <w:t xml:space="preserve">report-only check with a band of plus or minus 15 percent around the fitted target, not an</w:t>
      </w:r>
      <w:r>
        <w:t xml:space="preserve"> </w:t>
      </w:r>
      <w:r>
        <w:t xml:space="preserve">independent validation against outside data. All 48 archetype-by-city-by-year cells pass this check.</w:t>
      </w:r>
      <w:r>
        <w:t xml:space="preserve"> </w:t>
      </w:r>
      <w:r>
        <w:t xml:space="preserve">Energy use intensity, taken as total site energy of all fuels divided by net conditioned floor area</w:t>
      </w:r>
      <w:r>
        <w:t xml:space="preserve"> </w:t>
      </w:r>
      <w:r>
        <w:t xml:space="preserve">and summed over the 50 simulated buildings of each archetype in all six cities (300 simulations per</w:t>
      </w:r>
      <w:r>
        <w:t xml:space="preserve"> </w:t>
      </w:r>
      <w:r>
        <w:t xml:space="preserve">archetype and year), is 116.0 kWh/m² for single-detached houses, 100.5 kWh/m² for other dwellings,</w:t>
      </w:r>
      <w:r>
        <w:t xml:space="preserve"> </w:t>
      </w:r>
      <w:r>
        <w:t xml:space="preserve">107.8 kWh/m² for mid-rise and 78.6 kWh/m² for high-rise buildings in 2022. The 2030 main-scenario</w:t>
      </w:r>
      <w:r>
        <w:t xml:space="preserve"> </w:t>
      </w:r>
      <w:r>
        <w:t xml:space="preserve">values are 116.3, 100.6, 107.8 and 78.6 kWh/m²; these are simulated levels, not a tested change.</w:t>
      </w:r>
    </w:p>
    <w:p>
      <w:pPr>
        <w:pStyle w:val="BodyText"/>
      </w:pPr>
      <w:r>
        <w:drawing>
          <wp:inline>
            <wp:extent cx="5334000" cy="57379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../impl/T71_out/fig02_annual_by_endus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Panel A: stock-weighted</w:t>
      </w:r>
      <w:r>
        <w:t xml:space="preserve"> </w:t>
      </w:r>
      <w:r>
        <w:t xml:space="preserve">whole-building annual energy by end use, 2022 versus 2030, main scenario, all eight meters. Panel B:</w:t>
      </w:r>
      <w:r>
        <w:t xml:space="preserve"> </w:t>
      </w:r>
      <w:r>
        <w:t xml:space="preserve">stock-weighted per-dwelling annual energy for interior equipment and interior lighting only, the two</w:t>
      </w:r>
      <w:r>
        <w:t xml:space="preserve"> </w:t>
      </w:r>
      <w:r>
        <w:t xml:space="preserve">meters with a defined per-dwelling divisor.</w:t>
      </w:r>
    </w:p>
    <w:bookmarkEnd w:id="75"/>
    <w:bookmarkStart w:id="85" w:name="Xabb082f3bffd88fb373e1ac06ce61b65193aaea"/>
    <w:p>
      <w:pPr>
        <w:pStyle w:val="Heading2"/>
      </w:pPr>
      <w:r>
        <w:t xml:space="preserve">3.4 Load shape: peak, load factor, midday share, ramp</w:t>
      </w:r>
    </w:p>
    <w:p>
      <w:pPr>
        <w:pStyle w:val="FirstParagraph"/>
      </w:pPr>
      <w:r>
        <w:t xml:space="preserve">Load factor, the ratio of the year’s mean hourly load to its single annual peak hourly load</w:t>
      </w:r>
      <w:r>
        <w:t xml:space="preserve"> </w:t>
      </w:r>
      <w:r>
        <w:t xml:space="preserve">(Section 2.10), rises under the main scenario by</w:t>
      </w:r>
      <w:r>
        <w:t xml:space="preserve"> </w:t>
      </w:r>
      <w:r>
        <w:t xml:space="preserve">0.49 percentage points from 2022 to 2030 (95 percent confidence interval 0.41 to 0.57 percentage</w:t>
      </w:r>
      <w:r>
        <w:t xml:space="preserve"> </w:t>
      </w:r>
      <w:r>
        <w:t xml:space="preserve">points), a change that excludes zero. Midday share, the fraction of annual energy delivered between</w:t>
      </w:r>
      <w:r>
        <w:t xml:space="preserve"> </w:t>
      </w:r>
      <w:r>
        <w:t xml:space="preserve">09:00 and 17:00, rises by 0.73 percentage points (95 percent confidence interval 0.62 to 0.86</w:t>
      </w:r>
      <w:r>
        <w:t xml:space="preserve"> </w:t>
      </w:r>
      <w:r>
        <w:t xml:space="preserve">percentage points, using the interval that accounts for households sharing a city and an archetype;</w:t>
      </w:r>
      <w:r>
        <w:t xml:space="preserve"> </w:t>
      </w:r>
      <w:r>
        <w:t xml:space="preserve">Section 3.8 reports how much wider this interval is than one that ignores that clustering, and why</w:t>
      </w:r>
      <w:r>
        <w:t xml:space="preserve"> </w:t>
      </w:r>
      <w:r>
        <w:t xml:space="preserve">the wider one is used here). Both changes exclude zero.</w:t>
      </w:r>
    </w:p>
    <w:p>
      <w:pPr>
        <w:pStyle w:val="BodyText"/>
      </w:pPr>
      <w:r>
        <w:t xml:space="preserve">Peak demand and evening ramp are reported as point values only, since no confidence interval is</w:t>
      </w:r>
      <w:r>
        <w:t xml:space="preserve"> </w:t>
      </w:r>
      <w:r>
        <w:t xml:space="preserve">available for either metric: stock-weighted peak demand falls from 47.207 kW</w:t>
      </w:r>
      <w:r>
        <w:t xml:space="preserve"> </w:t>
      </w:r>
      <w:r>
        <w:t xml:space="preserve">in 2022 to 46.332 kW in 2030, and the stock-weighted evening ramp falls from 7.852 kW to 7.768 kW;</w:t>
      </w:r>
      <w:r>
        <w:t xml:space="preserve"> </w:t>
      </w:r>
      <w:r>
        <w:t xml:space="preserve">no interval is available for either figure.</w:t>
      </w:r>
    </w:p>
    <w:p>
      <w:pPr>
        <w:pStyle w:val="BodyText"/>
      </w:pPr>
      <w:r>
        <w:t xml:space="preserve">The stock-average weekday load shape for 2030 (Figure 4, the 1,198 common households)</w:t>
      </w:r>
      <w:r>
        <w:t xml:space="preserve"> </w:t>
      </w:r>
      <w:r>
        <w:t xml:space="preserve">reaches its maximum at hour 17 of the day under the main scenario, the partial-persistence scenario</w:t>
      </w:r>
      <w:r>
        <w:t xml:space="preserve"> </w:t>
      </w:r>
      <w:r>
        <w:t xml:space="preserve">and the full-reversion scenario, and at hour 18 under the standardized-reversion variant; hour 17</w:t>
      </w:r>
      <w:r>
        <w:t xml:space="preserve"> </w:t>
      </w:r>
      <w:r>
        <w:t xml:space="preserve">uses the same clock-aligned hour numbering as the rest of the framework (Section 2.5’s four-hour</w:t>
      </w:r>
      <w:r>
        <w:t xml:space="preserve"> </w:t>
      </w:r>
      <w:r>
        <w:t xml:space="preserve">roll), corresponding to the late-afternoon hour beginning around 5 p.m. The standardized-reversion</w:t>
      </w:r>
      <w:r>
        <w:t xml:space="preserve"> </w:t>
      </w:r>
      <w:r>
        <w:t xml:space="preserve">variant also shows a visibly flatter midday and a higher evening peak than the other three arms. No</w:t>
      </w:r>
      <w:r>
        <w:t xml:space="preserve"> </w:t>
      </w:r>
      <w:r>
        <w:t xml:space="preserve">stock-weighted, all-city mean-peak-hour trend across multiple survey cycles, and no coincidence-factor</w:t>
      </w:r>
      <w:r>
        <w:t xml:space="preserve"> </w:t>
      </w:r>
      <w:r>
        <w:t xml:space="preserve">figure, is reported; neither is stated here. Sections 3.5 and 3.6 report two other</w:t>
      </w:r>
      <w:r>
        <w:t xml:space="preserve"> </w:t>
      </w:r>
      <w:r>
        <w:t xml:space="preserve">kinds of peak-timing evidence: household-level circular-mean ranges from the full model, and a</w:t>
      </w:r>
      <w:r>
        <w:t xml:space="preserve"> </w:t>
      </w:r>
      <w:r>
        <w:t xml:space="preserve">measured-data comparison for one city.</w:t>
      </w:r>
    </w:p>
    <w:p>
      <w:pPr>
        <w:pStyle w:val="BodyText"/>
      </w:pPr>
      <w:r>
        <w:t xml:space="preserve">The end-use-by-hour percent-change heatmap (Figure 6, 192 cells, all eight end-use meters</w:t>
      </w:r>
      <w:r>
        <w:t xml:space="preserve"> </w:t>
      </w:r>
      <w:r>
        <w:t xml:space="preserve">by 24 hours) is descriptive. For whole-building electricity it shows consumption falling slightly in</w:t>
      </w:r>
      <w:r>
        <w:t xml:space="preserve"> </w:t>
      </w:r>
      <w:r>
        <w:t xml:space="preserve">the overnight and late-evening hours and rising through the daytime hours, consistent with more of</w:t>
      </w:r>
      <w:r>
        <w:t xml:space="preserve"> </w:t>
      </w:r>
      <w:r>
        <w:t xml:space="preserve">the stock being home during the day. No single cell in this heatmap is quoted here as an individually tested</w:t>
      </w:r>
      <w:r>
        <w:t xml:space="preserve"> </w:t>
      </w:r>
      <w:r>
        <w:t xml:space="preserve">change, since no confidence interval exists at this hour-by-end-use granularity.</w:t>
      </w:r>
    </w:p>
    <w:p>
      <w:pPr>
        <w:pStyle w:val="BodyText"/>
      </w:pPr>
      <w:r>
        <w:drawing>
          <wp:inline>
            <wp:extent cx="5334000" cy="3294234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../impl/T71_out/fig03_intraday_load_shap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Intraday weekday load shape,</w:t>
      </w:r>
      <w:r>
        <w:t xml:space="preserve"> </w:t>
      </w:r>
      <w:r>
        <w:t xml:space="preserve">2030, all four scenario arms, on the 1,198 households common to all four.</w:t>
      </w:r>
    </w:p>
    <w:p>
      <w:pPr>
        <w:pStyle w:val="BodyText"/>
      </w:pPr>
      <w:r>
        <w:drawing>
          <wp:inline>
            <wp:extent cx="5334000" cy="2283435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../impl/T71_out/fig04_peak_loadfactor_ramp_ci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3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Peak demand and evening</w:t>
      </w:r>
      <w:r>
        <w:t xml:space="preserve"> </w:t>
      </w:r>
      <w:r>
        <w:t xml:space="preserve">ramp, 2022 versus 2030, point values with no confidence interval (shown visually distinct from load</w:t>
      </w:r>
      <w:r>
        <w:t xml:space="preserve"> </w:t>
      </w:r>
      <w:r>
        <w:t xml:space="preserve">factor, which carries a confidence interval).</w:t>
      </w:r>
    </w:p>
    <w:p>
      <w:pPr>
        <w:pStyle w:val="BodyText"/>
      </w:pPr>
      <w:r>
        <w:drawing>
          <wp:inline>
            <wp:extent cx="5334000" cy="3328202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../impl/T71_out/fig05_enduse_hour_diff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6.</w:t>
      </w:r>
      <w:r>
        <w:t xml:space="preserve"> </w:t>
      </w:r>
      <w:r>
        <w:t xml:space="preserve">End-use by hour percent-change</w:t>
      </w:r>
      <w:r>
        <w:t xml:space="preserve"> </w:t>
      </w:r>
      <w:r>
        <w:t xml:space="preserve">heatmap, 2022 to 2030, main scenario, descriptive only.</w:t>
      </w:r>
    </w:p>
    <w:bookmarkEnd w:id="85"/>
    <w:bookmarkStart w:id="89" w:name="comparison-with-an-average-profile-model"/>
    <w:p>
      <w:pPr>
        <w:pStyle w:val="Heading2"/>
      </w:pPr>
      <w:r>
        <w:t xml:space="preserve">3.5 Comparison with an average-profile model</w:t>
      </w:r>
    </w:p>
    <w:p>
      <w:pPr>
        <w:pStyle w:val="FirstParagraph"/>
      </w:pPr>
      <w:r>
        <w:t xml:space="preserve">To isolate what the household-level diary-based schedule contributes over a simpler description of</w:t>
      </w:r>
      <w:r>
        <w:t xml:space="preserve"> </w:t>
      </w:r>
      <w:r>
        <w:t xml:space="preserve">occupancy, the full model (used throughout Sections 3.1 to 3.4) was compared against an</w:t>
      </w:r>
      <w:r>
        <w:t xml:space="preserve"> </w:t>
      </w:r>
      <w:r>
        <w:t xml:space="preserve">average-profile arm that keeps each household’s own calibrated design power but replaces its</w:t>
      </w:r>
      <w:r>
        <w:t xml:space="preserve"> </w:t>
      </w:r>
      <w:r>
        <w:t xml:space="preserve">individual schedule with the average schedule of its own archetype-and-city cell (Section 2.12). A</w:t>
      </w:r>
      <w:r>
        <w:t xml:space="preserve"> </w:t>
      </w:r>
      <w:r>
        <w:t xml:space="preserve">separate fixed-schedule arm is not part of this comparison,</w:t>
      </w:r>
      <w:r>
        <w:t xml:space="preserve"> </w:t>
      </w:r>
      <w:r>
        <w:t xml:space="preserve">since it is not a home-for-home comparison. The comparison table</w:t>
      </w:r>
      <w:r>
        <w:t xml:space="preserve"> </w:t>
      </w:r>
      <w:r>
        <w:t xml:space="preserve">covers 1,104 rows across 24 cells and both years; 850 of these rows carry a usable point comparison</w:t>
      </w:r>
      <w:r>
        <w:t xml:space="preserve"> </w:t>
      </w:r>
      <w:r>
        <w:t xml:space="preserve">and 254 do not, and any single number drawn from this table was checked against its own row before</w:t>
      </w:r>
      <w:r>
        <w:t xml:space="preserve"> </w:t>
      </w:r>
      <w:r>
        <w:t xml:space="preserve">being quoted here.</w:t>
      </w:r>
    </w:p>
    <w:p>
      <w:pPr>
        <w:pStyle w:val="BodyText"/>
      </w:pPr>
      <w:r>
        <w:t xml:space="preserve">One illustrative cell: for the single-detached archetype in Toronto in 2022, whole-building</w:t>
      </w:r>
      <w:r>
        <w:t xml:space="preserve"> </w:t>
      </w:r>
      <w:r>
        <w:t xml:space="preserve">electricity use is 8,225.56 kWh under the full model and 8,951.40 kWh under the average-profile arm,</w:t>
      </w:r>
      <w:r>
        <w:t xml:space="preserve"> </w:t>
      </w:r>
      <w:r>
        <w:t xml:space="preserve">a difference of 725.84 kWh; this is a per-cell illustration, not a stock-weighted figure, and no</w:t>
      </w:r>
      <w:r>
        <w:t xml:space="preserve"> </w:t>
      </w:r>
      <w:r>
        <w:t xml:space="preserve">confidence interval is available for this cross-arm comparison. The two arms differ far more in</w:t>
      </w:r>
      <w:r>
        <w:t xml:space="preserve"> </w:t>
      </w:r>
      <w:r>
        <w:t xml:space="preserve">household-to-household diversity of peak timing than in this annual total. Household-level dispersion</w:t>
      </w:r>
      <w:r>
        <w:t xml:space="preserve"> </w:t>
      </w:r>
      <w:r>
        <w:t xml:space="preserve">in peak hour (a circular standard deviation, since peak hour wraps at midnight, Section 2.10) for the</w:t>
      </w:r>
      <w:r>
        <w:t xml:space="preserve"> </w:t>
      </w:r>
      <w:r>
        <w:t xml:space="preserve">same cell is 3.493 hours under the full model against 0.084 hours under the average-profile arm in</w:t>
      </w:r>
      <w:r>
        <w:t xml:space="preserve"> </w:t>
      </w:r>
      <w:r>
        <w:t xml:space="preserve">2022, and 3.255 hours against 0.053 hours in 2030: the average-profile arm collapses household-to-</w:t>
      </w:r>
      <w:r>
        <w:t xml:space="preserve"> </w:t>
      </w:r>
      <w:r>
        <w:t xml:space="preserve">household diversity in peak timing almost to zero, which follows directly from assigning every</w:t>
      </w:r>
      <w:r>
        <w:t xml:space="preserve"> </w:t>
      </w:r>
      <w:r>
        <w:t xml:space="preserve">sampled household the same schedule by construction, not from a data finding. Across the six</w:t>
      </w:r>
      <w:r>
        <w:t xml:space="preserve"> </w:t>
      </w:r>
      <w:r>
        <w:t xml:space="preserve">simulated cities, the full model’s household-level circular mean peak hour for the single-detached</w:t>
      </w:r>
      <w:r>
        <w:t xml:space="preserve"> </w:t>
      </w:r>
      <w:r>
        <w:t xml:space="preserve">archetype ranges from 15.05 to 16.78 hours in 2022 and from 15.24 to 16.62 hours in 2030; this range</w:t>
      </w:r>
      <w:r>
        <w:t xml:space="preserve"> </w:t>
      </w:r>
      <w:r>
        <w:t xml:space="preserve">is reported for the single-detached archetype only, since that is the only archetype for which the</w:t>
      </w:r>
      <w:r>
        <w:t xml:space="preserve"> </w:t>
      </w:r>
      <w:r>
        <w:t xml:space="preserve">comparison table’s per-city rows are reported here.</w:t>
      </w:r>
    </w:p>
    <w:p>
      <w:pPr>
        <w:pStyle w:val="BodyText"/>
      </w:pPr>
      <w:r>
        <w:drawing>
          <wp:inline>
            <wp:extent cx="5334000" cy="3402606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../impl/T77_out/figure_06_full_vs_avgarm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2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7.</w:t>
      </w:r>
      <w:r>
        <w:t xml:space="preserve"> </w:t>
      </w:r>
      <w:r>
        <w:t xml:space="preserve">Full model versus</w:t>
      </w:r>
      <w:r>
        <w:t xml:space="preserve"> </w:t>
      </w:r>
      <w:r>
        <w:t xml:space="preserve">average-profile arm: annual whole-building electricity and household-level peak-hour statistics, by</w:t>
      </w:r>
      <w:r>
        <w:t xml:space="preserve"> </w:t>
      </w:r>
      <w:r>
        <w:t xml:space="preserve">cell.</w:t>
      </w:r>
    </w:p>
    <w:bookmarkEnd w:id="89"/>
    <w:bookmarkStart w:id="93" w:name="X49e19e9da7e3ae64e9d1a7ceacca0c0a4b6e223"/>
    <w:p>
      <w:pPr>
        <w:pStyle w:val="Heading2"/>
      </w:pPr>
      <w:r>
        <w:t xml:space="preserve">3.6 Independent measured check, Toronto/Ontario 2022</w:t>
      </w:r>
    </w:p>
    <w:p>
      <w:pPr>
        <w:pStyle w:val="FirstParagraph"/>
      </w:pPr>
      <w:r>
        <w:t xml:space="preserve">The simulated load shape was compared against a year of real measured hourly electricity data for</w:t>
      </w:r>
      <w:r>
        <w:t xml:space="preserve"> </w:t>
      </w:r>
      <w:r>
        <w:t xml:space="preserve">Toronto and for Ontario as a whole in 2022 (Section 2.10 defines each metric and names the</w:t>
      </w:r>
      <w:r>
        <w:t xml:space="preserve"> </w:t>
      </w:r>
      <w:r>
        <w:t xml:space="preserve">measured data source). For the shoulder season on a weekday, the simulated load factor is 0.4680</w:t>
      </w:r>
      <w:r>
        <w:t xml:space="preserve"> </w:t>
      </w:r>
      <w:r>
        <w:t xml:space="preserve">against a measured value of 0.4305, a difference of 0.0376. Simulated midday share is 0.3787 against</w:t>
      </w:r>
      <w:r>
        <w:t xml:space="preserve"> </w:t>
      </w:r>
      <w:r>
        <w:t xml:space="preserve">a measured 0.3513; simulated peak-to-average ratio is 2.1367 against a measured 2.3231; and the</w:t>
      </w:r>
      <w:r>
        <w:t xml:space="preserve"> </w:t>
      </w:r>
      <w:r>
        <w:t xml:space="preserve">simulated peak hour is 17.0 against a measured 18.69. Summer and winter weekday comparisons for both</w:t>
      </w:r>
      <w:r>
        <w:t xml:space="preserve"> </w:t>
      </w:r>
      <w:r>
        <w:t xml:space="preserve">the Toronto and the Ontario measured scopes are read the same way, twelve real-world period-and-</w:t>
      </w:r>
      <w:r>
        <w:t xml:space="preserve"> </w:t>
      </w:r>
      <w:r>
        <w:t xml:space="preserve">day-type groups in total, and are shown in full in Figure 8 rather than repeated here. No</w:t>
      </w:r>
      <w:r>
        <w:t xml:space="preserve"> </w:t>
      </w:r>
      <w:r>
        <w:t xml:space="preserve">confidence interval exists on either side of any of these comparisons; they are point statistics, not</w:t>
      </w:r>
      <w:r>
        <w:t xml:space="preserve"> </w:t>
      </w:r>
      <w:r>
        <w:t xml:space="preserve">bootstrapped.</w:t>
      </w:r>
    </w:p>
    <w:p>
      <w:pPr>
        <w:pStyle w:val="BodyText"/>
      </w:pPr>
      <w:r>
        <w:t xml:space="preserve">One metric in this file, the maximum kWh per premise, is not comparable between the simulated and</w:t>
      </w:r>
      <w:r>
        <w:t xml:space="preserve"> </w:t>
      </w:r>
      <w:r>
        <w:t xml:space="preserve">the measured side despite sharing a column name: the two sides measure this quantity on different</w:t>
      </w:r>
      <w:r>
        <w:t xml:space="preserve"> </w:t>
      </w:r>
      <w:r>
        <w:t xml:space="preserve">scales (for example, 2.006 simulated against 1.617 measured for the Toronto shoulder weekday cell),</w:t>
      </w:r>
      <w:r>
        <w:t xml:space="preserve"> </w:t>
      </w:r>
      <w:r>
        <w:t xml:space="preserve">so Figure 8 draws this comparison hatched and labelled not comparable, and no value from</w:t>
      </w:r>
      <w:r>
        <w:t xml:space="preserve"> </w:t>
      </w:r>
      <w:r>
        <w:t xml:space="preserve">this row is used as a like-for-like statement anywhere in this paper.</w:t>
      </w:r>
    </w:p>
    <w:p>
      <w:pPr>
        <w:pStyle w:val="BodyText"/>
      </w:pPr>
      <w:r>
        <w:t xml:space="preserve">Two further checks support the plausibility of these results. First, a sanity ratio between the</w:t>
      </w:r>
      <w:r>
        <w:t xml:space="preserve"> </w:t>
      </w:r>
      <w:r>
        <w:t xml:space="preserve">occupancy-only simulations and a previously published campaign shows that occupancy-only changes</w:t>
      </w:r>
      <w:r>
        <w:t xml:space="preserve"> </w:t>
      </w:r>
      <w:r>
        <w:t xml:space="preserve">barely moved annual whole-building electricity: the ratio is 1.0075 for</w:t>
      </w:r>
      <w:r>
        <w:t xml:space="preserve"> </w:t>
      </w:r>
      <w:r>
        <w:t xml:space="preserve">single-detached, 0.9997 for other-dwelling, 1.0017 for mid-rise and 1.0072 for high-rise, all within</w:t>
      </w:r>
      <w:r>
        <w:t xml:space="preserve"> </w:t>
      </w:r>
      <w:r>
        <w:t xml:space="preserve">0.8 percent of one. Second, annual whole-building electricity per dwelling for 2022 is quotable</w:t>
      </w:r>
      <w:r>
        <w:t xml:space="preserve"> </w:t>
      </w:r>
      <w:r>
        <w:t xml:space="preserve">only for the single-detached archetype, 8,225.56 kWh per dwelling per year, since this is the one</w:t>
      </w:r>
      <w:r>
        <w:t xml:space="preserve"> </w:t>
      </w:r>
      <w:r>
        <w:t xml:space="preserve">archetype with an unambiguous divisor of one dwelling per building; the equivalent per-dwelling</w:t>
      </w:r>
      <w:r>
        <w:t xml:space="preserve"> </w:t>
      </w:r>
      <w:r>
        <w:t xml:space="preserve">figures for the other three archetypes would need a building-to-dwelling divisor for whole-building</w:t>
      </w:r>
      <w:r>
        <w:t xml:space="preserve"> </w:t>
      </w:r>
      <w:r>
        <w:t xml:space="preserve">electricity, which is defined only for the equipment and lighting meters, so those three</w:t>
      </w:r>
      <w:r>
        <w:t xml:space="preserve"> </w:t>
      </w:r>
      <w:r>
        <w:t xml:space="preserve">archetypes are reported here only through the whole-building sanity ratios above, not as per-dwelling</w:t>
      </w:r>
      <w:r>
        <w:t xml:space="preserve"> </w:t>
      </w:r>
      <w:r>
        <w:t xml:space="preserve">energy figures.</w:t>
      </w:r>
    </w:p>
    <w:p>
      <w:pPr>
        <w:pStyle w:val="BodyText"/>
      </w:pPr>
      <w:r>
        <w:drawing>
          <wp:inline>
            <wp:extent cx="5334000" cy="3025699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../impl/T73_out/fig07_measured_vs_simulated_shap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8.</w:t>
      </w:r>
      <w:r>
        <w:t xml:space="preserve"> </w:t>
      </w:r>
      <w:r>
        <w:t xml:space="preserve">Simulated versus measured</w:t>
      </w:r>
      <w:r>
        <w:t xml:space="preserve"> </w:t>
      </w:r>
      <w:r>
        <w:t xml:space="preserve">load-shape metrics, Toronto and Ontario, 2022, by season and day type; maximum kWh per premise shown</w:t>
      </w:r>
      <w:r>
        <w:t xml:space="preserve"> </w:t>
      </w:r>
      <w:r>
        <w:t xml:space="preserve">hatched and labelled not comparable.</w:t>
      </w:r>
    </w:p>
    <w:bookmarkEnd w:id="93"/>
    <w:bookmarkStart w:id="94" w:name="sample-size-check"/>
    <w:p>
      <w:pPr>
        <w:pStyle w:val="Heading2"/>
      </w:pPr>
      <w:r>
        <w:t xml:space="preserve">3.7 Sample-size check</w:t>
      </w:r>
    </w:p>
    <w:p>
      <w:pPr>
        <w:pStyle w:val="FirstParagraph"/>
      </w:pPr>
      <w:r>
        <w:t xml:space="preserve">A separate sampling check compares the confidence-interval half-width obtained from the project’s</w:t>
      </w:r>
      <w:r>
        <w:t xml:space="preserve"> </w:t>
      </w:r>
      <w:r>
        <w:t xml:space="preserve">standard 50-household sample against a larger, 150-to-200-household check, across the four Montreal</w:t>
      </w:r>
      <w:r>
        <w:t xml:space="preserve"> </w:t>
      </w:r>
      <w:r>
        <w:t xml:space="preserve">archetype cells and six load-shape and energy metrics (24 cell-by-metric combinations; 144 of 144 expected rows found; full detail in the</w:t>
      </w:r>
      <w:r>
        <w:t xml:space="preserve"> </w:t>
      </w:r>
      <w:r>
        <w:t xml:space="preserve">Supplementary Information, Figure S1). The half-width is larger at 200 households than at</w:t>
      </w:r>
      <w:r>
        <w:t xml:space="preserve"> </w:t>
      </w:r>
      <w:r>
        <w:t xml:space="preserve">150 households in all 24 of 24 tested combinations. This is a change in how the interval is computed</w:t>
      </w:r>
      <w:r>
        <w:t xml:space="preserve"> </w:t>
      </w:r>
      <w:r>
        <w:t xml:space="preserve">at each sample size, not evidence that the estimate does not settle with more households: the</w:t>
      </w:r>
      <w:r>
        <w:t xml:space="preserve"> </w:t>
      </w:r>
      <w:r>
        <w:t xml:space="preserve">200-household interval uses a parametric interval on the real full sample, while the smaller sizes</w:t>
      </w:r>
      <w:r>
        <w:t xml:space="preserve"> </w:t>
      </w:r>
      <w:r>
        <w:t xml:space="preserve">use a bootstrap of 1,000 subsamples drawn from that same 200-household set, and the two methods are</w:t>
      </w:r>
      <w:r>
        <w:t xml:space="preserve"> </w:t>
      </w:r>
      <w:r>
        <w:t xml:space="preserve">not expected to produce the same half-width even when the underlying estimate is stable. One</w:t>
      </w:r>
      <w:r>
        <w:t xml:space="preserve"> </w:t>
      </w:r>
      <w:r>
        <w:t xml:space="preserve">illustrative cell, the single-detached archetype in Montreal, shows a half-width of 2.4475 kWh at 150</w:t>
      </w:r>
      <w:r>
        <w:t xml:space="preserve"> </w:t>
      </w:r>
      <w:r>
        <w:t xml:space="preserve">households against 4.2046 kWh at 200 households for the 2022-to-2030 electricity change. The check</w:t>
      </w:r>
      <w:r>
        <w:t xml:space="preserve"> </w:t>
      </w:r>
      <w:r>
        <w:t xml:space="preserve">covers Montreal only.</w:t>
      </w:r>
    </w:p>
    <w:bookmarkEnd w:id="94"/>
    <w:bookmarkStart w:id="95" w:name="X54b7161dfbdbc53c9551b8a410ee37c240fd231"/>
    <w:p>
      <w:pPr>
        <w:pStyle w:val="Heading2"/>
      </w:pPr>
      <w:r>
        <w:t xml:space="preserve">3.8 Robustness of model selection and intervals</w:t>
      </w:r>
    </w:p>
    <w:p>
      <w:pPr>
        <w:pStyle w:val="FirstParagraph"/>
      </w:pPr>
      <w:r>
        <w:rPr>
          <w:b/>
          <w:bCs/>
        </w:rPr>
        <w:t xml:space="preserve">Model selection.</w:t>
      </w:r>
      <w:r>
        <w:t xml:space="preserve"> </w:t>
      </w:r>
      <w:r>
        <w:t xml:space="preserve">Four candidate models clear all four selection checks at their original</w:t>
      </w:r>
      <w:r>
        <w:t xml:space="preserve"> </w:t>
      </w:r>
      <w:r>
        <w:t xml:space="preserve">thresholds; the model used throughout this paper is the candidate with the best combined score among</w:t>
      </w:r>
      <w:r>
        <w:t xml:space="preserve"> </w:t>
      </w:r>
      <w:r>
        <w:t xml:space="preserve">the four that passed all checks. Its own scores are an activity Jensen-Shannon divergence of 0.0191, an at-home</w:t>
      </w:r>
      <w:r>
        <w:t xml:space="preserve"> </w:t>
      </w:r>
      <w:r>
        <w:t xml:space="preserve">root-mean-square error of 4.57 percentage points, a spousal co-presence gap of negative 2.03</w:t>
      </w:r>
      <w:r>
        <w:t xml:space="preserve"> </w:t>
      </w:r>
      <w:r>
        <w:t xml:space="preserve">percentage points, and a composite score of 0.6355 (Supplementary Information Table</w:t>
      </w:r>
      <w:r>
        <w:t xml:space="preserve"> </w:t>
      </w:r>
      <w:r>
        <w:t xml:space="preserve">S1). A threshold-sensitivity check, varying each of the four check thresholds</w:t>
      </w:r>
      <w:r>
        <w:t xml:space="preserve"> </w:t>
      </w:r>
      <w:r>
        <w:t xml:space="preserve">individually by 10 percent and then by 20 percent, finds that the selected model changes in 2 of 21</w:t>
      </w:r>
      <w:r>
        <w:t xml:space="preserve"> </w:t>
      </w:r>
      <w:r>
        <w:t xml:space="preserve">tested scenarios (both a 20 percent tightening of the at-home threshold), where selection instead</w:t>
      </w:r>
      <w:r>
        <w:t xml:space="preserve"> </w:t>
      </w:r>
      <w:r>
        <w:t xml:space="preserve">falls to a different candidate with only one of four to six candidates passing; in the remaining 19</w:t>
      </w:r>
      <w:r>
        <w:t xml:space="preserve"> </w:t>
      </w:r>
      <w:r>
        <w:t xml:space="preserve">of 21 scenarios the selected model stays eligible and is still chosen. Selection is therefore not</w:t>
      </w:r>
      <w:r>
        <w:t xml:space="preserve"> </w:t>
      </w:r>
      <w:r>
        <w:t xml:space="preserve">sensitive to moderate changes in three of the four thresholds, and sensitive to the fourth only at</w:t>
      </w:r>
      <w:r>
        <w:t xml:space="preserve"> </w:t>
      </w:r>
      <w:r>
        <w:t xml:space="preserve">the most aggressive tightening tested (Supplementary Information Figure S2). Two of</w:t>
      </w:r>
      <w:r>
        <w:t xml:space="preserve"> </w:t>
      </w:r>
      <w:r>
        <w:t xml:space="preserve">the four thresholds were set to match values already achieved by an earlier baseline version of the</w:t>
      </w:r>
      <w:r>
        <w:t xml:space="preserve"> </w:t>
      </w:r>
      <w:r>
        <w:t xml:space="preserve">model, one threshold has no stated independent rationale, and one check was tightened during</w:t>
      </w:r>
      <w:r>
        <w:t xml:space="preserve"> </w:t>
      </w:r>
      <w:r>
        <w:t xml:space="preserve">development from 10 to 5 percentage points with no stated reason; this threshold provenance is</w:t>
      </w:r>
      <w:r>
        <w:t xml:space="preserve"> </w:t>
      </w:r>
      <w:r>
        <w:t xml:space="preserve">reported as a stated limitation of the selection procedure, not as an error in the chosen model.</w:t>
      </w:r>
    </w:p>
    <w:p>
      <w:pPr>
        <w:pStyle w:val="BodyText"/>
      </w:pPr>
      <w:r>
        <w:rPr>
          <w:b/>
          <w:bCs/>
        </w:rPr>
        <w:t xml:space="preserve">Clustering-aware intervals.</w:t>
      </w:r>
      <w:r>
        <w:t xml:space="preserve"> </w:t>
      </w:r>
      <w:r>
        <w:t xml:space="preserve">Because households in this study share a city and an archetype, a</w:t>
      </w:r>
      <w:r>
        <w:t xml:space="preserve"> </w:t>
      </w:r>
      <w:r>
        <w:t xml:space="preserve">resampling method that accounts for that clustering (a cell-level cluster bootstrap) was compared</w:t>
      </w:r>
      <w:r>
        <w:t xml:space="preserve"> </w:t>
      </w:r>
      <w:r>
        <w:t xml:space="preserve">against a plain pooled interval that ignores it, for the two shape metrics used in Section 3.4. For</w:t>
      </w:r>
      <w:r>
        <w:t xml:space="preserve"> </w:t>
      </w:r>
      <w:r>
        <w:t xml:space="preserve">midday share, the cluster-aware interval is 0.00243 wide against 0.00174 for the plain interval,</w:t>
      </w:r>
      <w:r>
        <w:t xml:space="preserve"> </w:t>
      </w:r>
      <w:r>
        <w:t xml:space="preserve">about 40 percent wider, a real and material effect of clustering; the interval used in Section 3.4 is</w:t>
      </w:r>
      <w:r>
        <w:t xml:space="preserve"> </w:t>
      </w:r>
      <w:r>
        <w:t xml:space="preserve">this wider, cluster-aware one. For load factor, the cluster-aware interval is 0.00161 wide against</w:t>
      </w:r>
      <w:r>
        <w:t xml:space="preserve"> </w:t>
      </w:r>
      <w:r>
        <w:t xml:space="preserve">0.00165 for the plain interval, about 2 percent narrower, a negligible difference within Monte Carlo</w:t>
      </w:r>
      <w:r>
        <w:t xml:space="preserve"> </w:t>
      </w:r>
      <w:r>
        <w:t xml:space="preserve">noise. Both methods keep both metrics’ intervals on the same side of zero, so no conclusion in this</w:t>
      </w:r>
      <w:r>
        <w:t xml:space="preserve"> </w:t>
      </w:r>
      <w:r>
        <w:t xml:space="preserve">paper flips depending on which interval is used, but the midday-share result shows that ignoring</w:t>
      </w:r>
      <w:r>
        <w:t xml:space="preserve"> </w:t>
      </w:r>
      <w:r>
        <w:t xml:space="preserve">household clustering can understate uncertainty for some metrics and not for others (Supplementary</w:t>
      </w:r>
      <w:r>
        <w:t xml:space="preserve"> </w:t>
      </w:r>
      <w:r>
        <w:t xml:space="preserve">Information Table S4).</w:t>
      </w:r>
    </w:p>
    <w:bookmarkEnd w:id="95"/>
    <w:bookmarkEnd w:id="96"/>
    <w:bookmarkStart w:id="97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t xml:space="preserve">Section 1.5 asked whether, and how, occupancy-driven change reshapes the residential load curve at</w:t>
      </w:r>
      <w:r>
        <w:t xml:space="preserve"> </w:t>
      </w:r>
      <w:r>
        <w:t xml:space="preserve">stock scale, under explicit work-from-home scenarios carried to 2030. Section 3 gives a specific</w:t>
      </w:r>
      <w:r>
        <w:t xml:space="preserve"> </w:t>
      </w:r>
      <w:r>
        <w:t xml:space="preserve">answer. Under the main scenario, annual whole-building electricity in 2030 is nearly unchanged from</w:t>
      </w:r>
      <w:r>
        <w:t xml:space="preserve"> </w:t>
      </w:r>
      <w:r>
        <w:t xml:space="preserve">2022, rising by 0.1209 percent (Section 3.3), while the timing of demand and the mix of end uses move</w:t>
      </w:r>
      <w:r>
        <w:t xml:space="preserve"> </w:t>
      </w:r>
      <w:r>
        <w:t xml:space="preserve">more than that total does. The comparison across the three named 2030 scenarios, plus one</w:t>
      </w:r>
      <w:r>
        <w:t xml:space="preserve"> </w:t>
      </w:r>
      <w:r>
        <w:t xml:space="preserve">standardized-reversion check (Section 3.2), is this paper’s main message about uncertainty: the</w:t>
      </w:r>
      <w:r>
        <w:t xml:space="preserve"> </w:t>
      </w:r>
      <w:r>
        <w:t xml:space="preserve">full-reversion scenario shows a small but real fall in annual electricity, the partial-persistence</w:t>
      </w:r>
      <w:r>
        <w:t xml:space="preserve"> </w:t>
      </w:r>
      <w:r>
        <w:t xml:space="preserve">scenario shows no change that the data can tell apart from zero, and the standardized-reversion</w:t>
      </w:r>
      <w:r>
        <w:t xml:space="preserve"> </w:t>
      </w:r>
      <w:r>
        <w:t xml:space="preserve">variant shows the largest and clearest fall of the three. Only a change whose confidence interval</w:t>
      </w:r>
      <w:r>
        <w:t xml:space="preserve"> </w:t>
      </w:r>
      <w:r>
        <w:t xml:space="preserve">excludes zero is discussed below as a change; where an interval contains zero, this paper says so and</w:t>
      </w:r>
      <w:r>
        <w:t xml:space="preserve"> </w:t>
      </w:r>
      <w:r>
        <w:t xml:space="preserve">does not describe it as a rise or a fall.</w:t>
      </w:r>
    </w:p>
    <w:p>
      <w:pPr>
        <w:pStyle w:val="BodyText"/>
      </w:pPr>
      <w:r>
        <w:t xml:space="preserve">The paired, within-household design used throughout Sections 3.1 to 3.4 is what lets a change of this</w:t>
      </w:r>
      <w:r>
        <w:t xml:space="preserve"> </w:t>
      </w:r>
      <w:r>
        <w:t xml:space="preserve">size be told apart from noise: because each simulated household is compared against itself across 2022</w:t>
      </w:r>
      <w:r>
        <w:t xml:space="preserve"> </w:t>
      </w:r>
      <w:r>
        <w:t xml:space="preserve">and 2030 rather than against a different sample, the reported confidence intervals reflect the</w:t>
      </w:r>
      <w:r>
        <w:t xml:space="preserve"> </w:t>
      </w:r>
      <w:r>
        <w:t xml:space="preserve">occupancy-driven signal specifically, one of this paper’s scientific contributions (Section 1.5).</w:t>
      </w:r>
      <w:r>
        <w:t xml:space="preserve"> </w:t>
      </w:r>
      <w:r>
        <w:t xml:space="preserve">Because households in this study also share a city and an archetype, whether the interval method</w:t>
      </w:r>
      <w:r>
        <w:t xml:space="preserve"> </w:t>
      </w:r>
      <w:r>
        <w:t xml:space="preserve">accounts for that clustering matters for some metrics and not for others (Section 3.8): the</w:t>
      </w:r>
      <w:r>
        <w:t xml:space="preserve"> </w:t>
      </w:r>
      <w:r>
        <w:t xml:space="preserve">clustering-aware interval used for midday share throughout this paper is about 40 percent wider than a</w:t>
      </w:r>
      <w:r>
        <w:t xml:space="preserve"> </w:t>
      </w:r>
      <w:r>
        <w:t xml:space="preserve">plain interval that ignores clustering, while the equivalent comparison for load factor is a</w:t>
      </w:r>
      <w:r>
        <w:t xml:space="preserve"> </w:t>
      </w:r>
      <w:r>
        <w:t xml:space="preserve">negligible 2 percent narrower. Both methods keep both metrics on the same side of zero, so no</w:t>
      </w:r>
      <w:r>
        <w:t xml:space="preserve"> </w:t>
      </w:r>
      <w:r>
        <w:t xml:space="preserve">conclusion in this paper changes depending on which interval is used, but the difference is the reason</w:t>
      </w:r>
      <w:r>
        <w:t xml:space="preserve"> </w:t>
      </w:r>
      <w:r>
        <w:t xml:space="preserve">the wider, clustering-aware interval is the one reported in Section 3.4.</w:t>
      </w:r>
    </w:p>
    <w:p>
      <w:pPr>
        <w:pStyle w:val="BodyText"/>
      </w:pPr>
      <w:r>
        <w:t xml:space="preserve">For grid planning, the practical reading of Section 3.4 is stated here in plain terms. Under the main</w:t>
      </w:r>
      <w:r>
        <w:t xml:space="preserve"> </w:t>
      </w:r>
      <w:r>
        <w:t xml:space="preserve">scenario, a larger share of annual energy moves into the middle of the day: midday share rises by 0.73</w:t>
      </w:r>
      <w:r>
        <w:t xml:space="preserve"> </w:t>
      </w:r>
      <w:r>
        <w:t xml:space="preserve">percentage points. The ratio of average to peak hourly load also rises: load factor rises by 0.49</w:t>
      </w:r>
      <w:r>
        <w:t xml:space="preserve"> </w:t>
      </w:r>
      <w:r>
        <w:t xml:space="preserve">percentage points. Both changes exclude zero. Peak demand and the evening ramp are reported only as</w:t>
      </w:r>
      <w:r>
        <w:t xml:space="preserve"> </w:t>
      </w:r>
      <w:r>
        <w:t xml:space="preserve">point values, since no confidence interval is available for either metric, and both fall slightly</w:t>
      </w:r>
      <w:r>
        <w:t xml:space="preserve"> </w:t>
      </w:r>
      <w:r>
        <w:t xml:space="preserve">under the main scenario, from 47.207 to 46.332 kilowatts and from 7.852 to 7.768 kilowatts</w:t>
      </w:r>
      <w:r>
        <w:t xml:space="preserve"> </w:t>
      </w:r>
      <w:r>
        <w:t xml:space="preserve">respectively; these two figures describe the simulated stock and are not treated as a tested change.</w:t>
      </w:r>
      <w:r>
        <w:t xml:space="preserve"> </w:t>
      </w:r>
      <w:r>
        <w:t xml:space="preserve">Timing, not only the annual total, is material to how a grid operator plans for peak demand, the</w:t>
      </w:r>
      <w:r>
        <w:t xml:space="preserve"> </w:t>
      </w:r>
      <w:r>
        <w:t xml:space="preserve">evening ramp and demand-response programs (Denholm et al. 2015). This study uses 2030 as its horizon</w:t>
      </w:r>
      <w:r>
        <w:t xml:space="preserve"> </w:t>
      </w:r>
      <w:r>
        <w:t xml:space="preserve">because it sits beyond the latest available survey data and because 2030 is a commonly used planning</w:t>
      </w:r>
      <w:r>
        <w:t xml:space="preserve"> </w:t>
      </w:r>
      <w:r>
        <w:t xml:space="preserve">horizon (IEA 2021).</w:t>
      </w:r>
    </w:p>
    <w:p>
      <w:pPr>
        <w:pStyle w:val="BodyText"/>
      </w:pPr>
      <w:r>
        <w:t xml:space="preserve">Section 3.5 isolates what the household-level model used throughout this paper adds over a simpler</w:t>
      </w:r>
      <w:r>
        <w:t xml:space="preserve"> </w:t>
      </w:r>
      <w:r>
        <w:t xml:space="preserve">average-profile method that keeps each household’s own calibrated design power but assigns every</w:t>
      </w:r>
      <w:r>
        <w:t xml:space="preserve"> </w:t>
      </w:r>
      <w:r>
        <w:t xml:space="preserve">household in a city-and-archetype cell the same schedule. For the one cell used as an illustration,</w:t>
      </w:r>
      <w:r>
        <w:t xml:space="preserve"> </w:t>
      </w:r>
      <w:r>
        <w:t xml:space="preserve">single-detached homes in Toronto in 2022, the annual totals differ by 725.84 kilowatt-hours, about 9</w:t>
      </w:r>
      <w:r>
        <w:t xml:space="preserve"> </w:t>
      </w:r>
      <w:r>
        <w:t xml:space="preserve">percent (8,225.56 under the full model against 8,951.40 under the average-profile method). What</w:t>
      </w:r>
      <w:r>
        <w:t xml:space="preserve"> </w:t>
      </w:r>
      <w:r>
        <w:t xml:space="preserve">differs far more sharply is household-to-household diversity in peak timing, which</w:t>
      </w:r>
      <w:r>
        <w:t xml:space="preserve"> </w:t>
      </w:r>
      <w:r>
        <w:t xml:space="preserve">the average-profile method collapses almost to zero by construction: a circular standard deviation of</w:t>
      </w:r>
      <w:r>
        <w:t xml:space="preserve"> </w:t>
      </w:r>
      <w:r>
        <w:t xml:space="preserve">peak hour of 3.493 hours under the full model against 0.084 hours under the average-profile method in</w:t>
      </w:r>
      <w:r>
        <w:t xml:space="preserve"> </w:t>
      </w:r>
      <w:r>
        <w:t xml:space="preserve">2022, and 3.255 hours against 0.053 hours in 2030. This is the clearest demonstration in this paper of</w:t>
      </w:r>
      <w:r>
        <w:t xml:space="preserve"> </w:t>
      </w:r>
      <w:r>
        <w:t xml:space="preserve">what the household-level, diary-based model adds: the spread of when different households peak, which</w:t>
      </w:r>
      <w:r>
        <w:t xml:space="preserve"> </w:t>
      </w:r>
      <w:r>
        <w:t xml:space="preserve">only a model built at the household level can represent, and which sets how individual peaks combine</w:t>
      </w:r>
      <w:r>
        <w:t xml:space="preserve"> </w:t>
      </w:r>
      <w:r>
        <w:t xml:space="preserve">into the stock’s load curve. The annual totals also differ, but by far less than the timing does.</w:t>
      </w:r>
    </w:p>
    <w:p>
      <w:pPr>
        <w:pStyle w:val="BodyText"/>
      </w:pPr>
      <w:r>
        <w:t xml:space="preserve">The generative model behind these results was chosen from a broader search (Section 3.8): it has the</w:t>
      </w:r>
      <w:r>
        <w:t xml:space="preserve"> </w:t>
      </w:r>
      <w:r>
        <w:t xml:space="preserve">best combined score among four candidates that passed all four selection checks, and the choice holds</w:t>
      </w:r>
      <w:r>
        <w:t xml:space="preserve"> </w:t>
      </w:r>
      <w:r>
        <w:t xml:space="preserve">in 19 of 21 threshold variations, changing only under the strictest tightening of the at-home check.</w:t>
      </w:r>
      <w:r>
        <w:t xml:space="preserve"> </w:t>
      </w:r>
      <w:r>
        <w:t xml:space="preserve">Two of the thresholds were set at values an earlier model version already reached, so the selection</w:t>
      </w:r>
      <w:r>
        <w:t xml:space="preserve"> </w:t>
      </w:r>
      <w:r>
        <w:t xml:space="preserve">is best read as robust to moderate threshold changes, not as independently justified by them.</w:t>
      </w:r>
    </w:p>
    <w:p>
      <w:pPr>
        <w:pStyle w:val="BodyText"/>
      </w:pPr>
      <w:r>
        <w:t xml:space="preserve">Section 3.6 compares the simulated load shape against a year of real measured hourly electricity data</w:t>
      </w:r>
      <w:r>
        <w:t xml:space="preserve"> </w:t>
      </w:r>
      <w:r>
        <w:t xml:space="preserve">for Toronto and for Ontario in 2022. This is a check on the simulated shape, not a validation of the</w:t>
      </w:r>
      <w:r>
        <w:t xml:space="preserve"> </w:t>
      </w:r>
      <w:r>
        <w:t xml:space="preserve">model as a whole. On the shoulder-season weekday comparison, simulated midday share (0.3787) sits</w:t>
      </w:r>
      <w:r>
        <w:t xml:space="preserve"> </w:t>
      </w:r>
      <w:r>
        <w:t xml:space="preserve">reasonably close to the measured value (0.3513), while the simulated peak hour (17.0) arrives earlier</w:t>
      </w:r>
      <w:r>
        <w:t xml:space="preserve"> </w:t>
      </w:r>
      <w:r>
        <w:t xml:space="preserve">in the day than the measured peak hour (18.69), and the simulated peak-to-average ratio (2.1367) is</w:t>
      </w:r>
      <w:r>
        <w:t xml:space="preserve"> </w:t>
      </w:r>
      <w:r>
        <w:t xml:space="preserve">lower than the measured one (2.3231): the simulated shape peaks earlier and less sharply than the</w:t>
      </w:r>
      <w:r>
        <w:t xml:space="preserve"> </w:t>
      </w:r>
      <w:r>
        <w:t xml:space="preserve">measured one in this comparison. All twelve period-and-day-type groups are shown in Figure</w:t>
      </w:r>
      <w:r>
        <w:t xml:space="preserve"> </w:t>
      </w:r>
      <w:r>
        <w:t xml:space="preserve">8.</w:t>
      </w:r>
    </w:p>
    <w:p>
      <w:pPr>
        <w:pStyle w:val="BodyText"/>
      </w:pPr>
      <w:r>
        <w:t xml:space="preserve">The activity-resolved equipment and lighting check against the national end-use energy survey (Section</w:t>
      </w:r>
      <w:r>
        <w:t xml:space="preserve"> </w:t>
      </w:r>
      <w:r>
        <w:t xml:space="preserve">3.3, and Section 1.5’s first practical contribution) is, by design, a check against a fitted target</w:t>
      </w:r>
      <w:r>
        <w:t xml:space="preserve"> </w:t>
      </w:r>
      <w:r>
        <w:t xml:space="preserve">rather than an independent validation: the same survey data that supplies the target also calibrates</w:t>
      </w:r>
      <w:r>
        <w:t xml:space="preserve"> </w:t>
      </w:r>
      <w:r>
        <w:t xml:space="preserve">the model. All 48 archetype-by-city-by-year cells fall inside the report-only band</w:t>
      </w:r>
      <w:r>
        <w:t xml:space="preserve"> </w:t>
      </w:r>
      <w:r>
        <w:t xml:space="preserve">of plus or minus 15 percent around that fitted target. This result shows the calibration behaves as</w:t>
      </w:r>
      <w:r>
        <w:t xml:space="preserve"> </w:t>
      </w:r>
      <w:r>
        <w:t xml:space="preserve">intended; it is not, on its own, independent evidence that the underlying diurnal shape is correct,</w:t>
      </w:r>
      <w:r>
        <w:t xml:space="preserve"> </w:t>
      </w:r>
      <w:r>
        <w:t xml:space="preserve">which is why Section 3.6’s measured comparison is reported as a separate, second kind of check rather</w:t>
      </w:r>
      <w:r>
        <w:t xml:space="preserve"> </w:t>
      </w:r>
      <w:r>
        <w:t xml:space="preserve">than folded into this one.</w:t>
      </w:r>
    </w:p>
    <w:p>
      <w:pPr>
        <w:pStyle w:val="BodyText"/>
      </w:pPr>
      <w:r>
        <w:t xml:space="preserve">One result in Section 3.3 runs against a simple intuition and is stated here exactly as measured, with</w:t>
      </w:r>
      <w:r>
        <w:t xml:space="preserve"> </w:t>
      </w:r>
      <w:r>
        <w:t xml:space="preserve">no causal account offered. Under the main scenario, interior lighting and interior equipment both fall</w:t>
      </w:r>
      <w:r>
        <w:t xml:space="preserve"> </w:t>
      </w:r>
      <w:r>
        <w:t xml:space="preserve">very slightly from 2022 to 2030, lighting by 0.0157 percent and equipment by 0.0066 percent, both</w:t>
      </w:r>
      <w:r>
        <w:t xml:space="preserve"> </w:t>
      </w:r>
      <w:r>
        <w:t xml:space="preserve">changes excluding zero, at the same time as the at-home share and the midday share both rise. This</w:t>
      </w:r>
      <w:r>
        <w:t xml:space="preserve"> </w:t>
      </w:r>
      <w:r>
        <w:t xml:space="preserve">paper does not claim that more time spent at home produces more plug load; in this study, these two</w:t>
      </w:r>
      <w:r>
        <w:t xml:space="preserve"> </w:t>
      </w:r>
      <w:r>
        <w:t xml:space="preserve">meters move in the opposite direction from that intuition, and that is reported here as the result.</w:t>
      </w:r>
    </w:p>
    <w:p>
      <w:pPr>
        <w:pStyle w:val="BodyText"/>
      </w:pPr>
      <w:r>
        <w:t xml:space="preserve">The scenario spread in Section 3.2 rests on an open question this paper’s own material does not</w:t>
      </w:r>
      <w:r>
        <w:t xml:space="preserve"> </w:t>
      </w:r>
      <w:r>
        <w:t xml:space="preserve">settle: what happens to work from home after 2022 (Section 1.3). In Canada, 18.7 percent of</w:t>
      </w:r>
      <w:r>
        <w:t xml:space="preserve"> </w:t>
      </w:r>
      <w:r>
        <w:t xml:space="preserve">employed people worked mostly from home in May 2024, down 1.4 percentage points from May 2023 and</w:t>
      </w:r>
      <w:r>
        <w:t xml:space="preserve"> </w:t>
      </w:r>
      <w:r>
        <w:t xml:space="preserve">3.7 points from May 2022 (Statistics Canada 2024b). If that fall continues, the</w:t>
      </w:r>
      <w:r>
        <w:t xml:space="preserve"> </w:t>
      </w:r>
      <w:r>
        <w:t xml:space="preserve">partial-persistence and full-reversion scenarios in Section 3.2 are not less plausible than the main,</w:t>
      </w:r>
      <w:r>
        <w:t xml:space="preserve"> </w:t>
      </w:r>
      <w:r>
        <w:t xml:space="preserve">full-persistence scenario. The scenarios are therefore best read as a range of outcomes, not as a</w:t>
      </w:r>
      <w:r>
        <w:t xml:space="preserve"> </w:t>
      </w:r>
      <w:r>
        <w:t xml:space="preserve">central estimate with two side cases.</w:t>
      </w:r>
    </w:p>
    <w:p>
      <w:pPr>
        <w:pStyle w:val="BodyText"/>
      </w:pPr>
      <w:r>
        <w:t xml:space="preserve">Against the closest external precedent identified in Section 1.2, Chen et al. (2022), this study</w:t>
      </w:r>
      <w:r>
        <w:t xml:space="preserve"> </w:t>
      </w:r>
      <w:r>
        <w:t xml:space="preserve">differs on one specific axis: that stock-scale, paired simulation design evaluates an already-elapsed</w:t>
      </w:r>
      <w:r>
        <w:t xml:space="preserve"> </w:t>
      </w:r>
      <w:r>
        <w:t xml:space="preserve">period, while this paper carries occupancy through the pandemic-era break to a stated future year,</w:t>
      </w:r>
      <w:r>
        <w:t xml:space="preserve"> </w:t>
      </w:r>
      <w:r>
        <w:t xml:space="preserve">2030, under more than one explicit persistence assumption. This is the one difference claimed here;</w:t>
      </w:r>
      <w:r>
        <w:t xml:space="preserve"> </w:t>
      </w:r>
      <w:r>
        <w:t xml:space="preserve">the two studies otherwise share most of the framework dimensions listed in Table 1, and no wider</w:t>
      </w:r>
      <w:r>
        <w:t xml:space="preserve"> </w:t>
      </w:r>
      <w:r>
        <w:t xml:space="preserve">novelty claim is made.</w:t>
      </w:r>
    </w:p>
    <w:p>
      <w:pPr>
        <w:pStyle w:val="BodyText"/>
      </w:pPr>
      <w:r>
        <w:t xml:space="preserve">Nothing in the pipeline used to produce these results is specific to Canada beyond its calibration data</w:t>
      </w:r>
      <w:r>
        <w:t xml:space="preserve"> </w:t>
      </w:r>
      <w:r>
        <w:t xml:space="preserve">(Section 1.5). Any country with a repeated national time-use survey, a census-type household frame</w:t>
      </w:r>
      <w:r>
        <w:t xml:space="preserve"> </w:t>
      </w:r>
      <w:r>
        <w:t xml:space="preserve">linking diaries to a dwelling stock, and a national end-use energy benchmark, of the kind already</w:t>
      </w:r>
      <w:r>
        <w:t xml:space="preserve"> </w:t>
      </w:r>
      <w:r>
        <w:t xml:space="preserve">supplied elsewhere by the American Time Use Survey and the Harmonised European Time Use Survey, could</w:t>
      </w:r>
      <w:r>
        <w:t xml:space="preserve"> </w:t>
      </w:r>
      <w:r>
        <w:t xml:space="preserve">rebuild the same generator, the same held-out-year evaluation, and the same paired stock-scale design</w:t>
      </w:r>
      <w:r>
        <w:t xml:space="preserve"> </w:t>
      </w:r>
      <w:r>
        <w:t xml:space="preserve">for its own housing stock; only the resulting magnitudes would be expected to differ. Section 5 states</w:t>
      </w:r>
      <w:r>
        <w:t xml:space="preserve"> </w:t>
      </w:r>
      <w:r>
        <w:t xml:space="preserve">the scope and data limitations that bound this study; nothing above should be read as contradicting</w:t>
      </w:r>
      <w:r>
        <w:t xml:space="preserve"> </w:t>
      </w:r>
      <w:r>
        <w:t xml:space="preserve">that section.</w:t>
      </w:r>
    </w:p>
    <w:bookmarkEnd w:id="97"/>
    <w:bookmarkStart w:id="98" w:name="limitations"/>
    <w:p>
      <w:pPr>
        <w:pStyle w:val="Heading1"/>
      </w:pPr>
      <w:r>
        <w:t xml:space="preserve">5. Limitations</w:t>
      </w:r>
    </w:p>
    <w:p>
      <w:pPr>
        <w:pStyle w:val="FirstParagraph"/>
      </w:pPr>
      <w:r>
        <w:t xml:space="preserve">This work has twelve limitations. The first nine bear directly on the results reported above; the</w:t>
      </w:r>
      <w:r>
        <w:t xml:space="preserve"> </w:t>
      </w:r>
      <w:r>
        <w:t xml:space="preserve">last three concern modelling assumptions. Each is stated in plain terms,</w:t>
      </w:r>
      <w:r>
        <w:t xml:space="preserve"> </w:t>
      </w:r>
      <w:r>
        <w:t xml:space="preserve">together with what it does and does not affect.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study covers six Canadian cities (Toronto, Kelowna, Vancouver, Montreal, Calgary and</w:t>
      </w:r>
      <w:r>
        <w:t xml:space="preserve"> </w:t>
      </w:r>
      <w:r>
        <w:t xml:space="preserve">Winnipeg) and four dwelling types (single-detached houses, other low-rise houses, mid-rise apartments</w:t>
      </w:r>
      <w:r>
        <w:t xml:space="preserve"> </w:t>
      </w:r>
      <w:r>
        <w:t xml:space="preserve">and high-rise apartments), built from one country’s time-use survey (Canada’s General Social Survey).</w:t>
      </w:r>
      <w:r>
        <w:t xml:space="preserve"> </w:t>
      </w:r>
      <w:r>
        <w:t xml:space="preserve">No other country’s time-use data is used, and the six cities do not represent every Canadian climate.</w:t>
      </w:r>
      <w:r>
        <w:t xml:space="preserve"> </w:t>
      </w:r>
      <w:r>
        <w:t xml:space="preserve">The check against real-world data is a comparison to measured residential electricity load shapes for</w:t>
      </w:r>
      <w:r>
        <w:t xml:space="preserve"> </w:t>
      </w:r>
      <w:r>
        <w:t xml:space="preserve">Toronto and the province of Ontario, over shoulder-season weekdays only; it is not a whole-building</w:t>
      </w:r>
      <w:r>
        <w:t xml:space="preserve"> </w:t>
      </w:r>
      <w:r>
        <w:t xml:space="preserve">energy measurement (it excludes natural gas heating and is not available for the other five cities or</w:t>
      </w:r>
      <w:r>
        <w:t xml:space="preserve"> </w:t>
      </w:r>
      <w:r>
        <w:t xml:space="preserve">for winter and summer conditions), so it should be read as a shape check, not a full energy validation.</w:t>
      </w:r>
    </w:p>
    <w:p>
      <w:pPr>
        <w:pStyle w:val="BodyText"/>
      </w:pPr>
      <w:r>
        <w:rPr>
          <w:b/>
          <w:bCs/>
        </w:rPr>
        <w:t xml:space="preserve">Only home energy is inside the system boundary.</w:t>
      </w:r>
      <w:r>
        <w:t xml:space="preserve"> </w:t>
      </w:r>
      <w:r>
        <w:t xml:space="preserve">More time at home moves some activity, and its</w:t>
      </w:r>
      <w:r>
        <w:t xml:space="preserve"> </w:t>
      </w:r>
      <w:r>
        <w:t xml:space="preserve">energy use, out of offices, schools and other workplaces. This study simulates homes only, so any</w:t>
      </w:r>
      <w:r>
        <w:t xml:space="preserve"> </w:t>
      </w:r>
      <w:r>
        <w:t xml:space="preserve">change in the energy use of those other buildings is not estimated, and the results describe the</w:t>
      </w:r>
      <w:r>
        <w:t xml:space="preserve"> </w:t>
      </w:r>
      <w:r>
        <w:t xml:space="preserve">residential side of the shift, not its net effect on total building energy use.</w:t>
      </w:r>
    </w:p>
    <w:p>
      <w:pPr>
        <w:pStyle w:val="BodyText"/>
      </w:pPr>
      <w:r>
        <w:rPr>
          <w:b/>
          <w:bCs/>
        </w:rPr>
        <w:t xml:space="preserve">The before-and-after schedules are not matched household by household.</w:t>
      </w:r>
      <w:r>
        <w:t xml:space="preserve"> </w:t>
      </w:r>
      <w:r>
        <w:t xml:space="preserve">The model of</w:t>
      </w:r>
      <w:r>
        <w:t xml:space="preserve"> </w:t>
      </w:r>
      <w:r>
        <w:t xml:space="preserve">occupant behaviour used here draws diaries only from the most recent survey year, unlike an</w:t>
      </w:r>
      <w:r>
        <w:t xml:space="preserve"> </w:t>
      </w:r>
      <w:r>
        <w:t xml:space="preserve">earlier version that mixed in older survey years. This choice changes which households pass the</w:t>
      </w:r>
      <w:r>
        <w:t xml:space="preserve"> </w:t>
      </w:r>
      <w:r>
        <w:t xml:space="preserve">simulation engine’s own data-quality check, so the pool of households actually simulated differs</w:t>
      </w:r>
      <w:r>
        <w:t xml:space="preserve"> </w:t>
      </w:r>
      <w:r>
        <w:t xml:space="preserve">between versions: for one representative city-and-type cell (single-</w:t>
      </w:r>
      <w:r>
        <w:t xml:space="preserve"> </w:t>
      </w:r>
      <w:r>
        <w:t xml:space="preserve">detached houses in the Montreal region), the current pool holds 16,326 paired households against 16,208</w:t>
      </w:r>
      <w:r>
        <w:t xml:space="preserve"> </w:t>
      </w:r>
      <w:r>
        <w:t xml:space="preserve">in the earlier version, a difference of 320 households, and the same random seed therefore draws a different</w:t>
      </w:r>
      <w:r>
        <w:t xml:space="preserve"> </w:t>
      </w:r>
      <w:r>
        <w:t xml:space="preserve">sample of households in the two versions. Comparing the two versions is a like-for-like comparison of</w:t>
      </w:r>
      <w:r>
        <w:t xml:space="preserve"> </w:t>
      </w:r>
      <w:r>
        <w:t xml:space="preserve">model versions, not a household-paired before/after study, and the paper states this plainly wherever</w:t>
      </w:r>
      <w:r>
        <w:t xml:space="preserve"> </w:t>
      </w:r>
      <w:r>
        <w:t xml:space="preserve">the two are placed side by side.</w:t>
      </w:r>
    </w:p>
    <w:p>
      <w:pPr>
        <w:pStyle w:val="BodyText"/>
      </w:pPr>
      <w:r>
        <w:rPr>
          <w:b/>
          <w:bCs/>
        </w:rPr>
        <w:t xml:space="preserve">Only one building envelope is used, for every city and dwelling type.</w:t>
      </w:r>
      <w:r>
        <w:t xml:space="preserve"> </w:t>
      </w:r>
      <w:r>
        <w:t xml:space="preserve">Confirming a separate,</w:t>
      </w:r>
      <w:r>
        <w:t xml:space="preserve"> </w:t>
      </w:r>
      <w:r>
        <w:t xml:space="preserve">older envelope for existing homes required a published U-value and solar heat gain coefficient for the</w:t>
      </w:r>
      <w:r>
        <w:t xml:space="preserve"> </w:t>
      </w:r>
      <w:r>
        <w:t xml:space="preserve">dominant window type of the existing housing stock (double-glazed, clear glass, 13 mm air gap, which</w:t>
      </w:r>
      <w:r>
        <w:t xml:space="preserve"> </w:t>
      </w:r>
      <w:r>
        <w:t xml:space="preserve">covers about 74% of single-detached window area in the reference source). No source in the literature</w:t>
      </w:r>
      <w:r>
        <w:t xml:space="preserve"> </w:t>
      </w:r>
      <w:r>
        <w:t xml:space="preserve">search prints these two values for that window type, so the existing-stock envelope variant was not</w:t>
      </w:r>
      <w:r>
        <w:t xml:space="preserve"> </w:t>
      </w:r>
      <w:r>
        <w:t xml:space="preserve">built, and every simulated building uses the current building-code envelope regardless of its true</w:t>
      </w:r>
      <w:r>
        <w:t xml:space="preserve"> </w:t>
      </w:r>
      <w:r>
        <w:t xml:space="preserve">vintage. This is conservative in one respect (older windows lose more heat than modelled) and is stated</w:t>
      </w:r>
      <w:r>
        <w:t xml:space="preserve"> </w:t>
      </w:r>
      <w:r>
        <w:t xml:space="preserve">as a limitation rather than corrected with an assumed number.</w:t>
      </w:r>
    </w:p>
    <w:p>
      <w:pPr>
        <w:pStyle w:val="BodyText"/>
      </w:pPr>
      <w:r>
        <w:rPr>
          <w:b/>
          <w:bCs/>
        </w:rPr>
        <w:t xml:space="preserve">The simulated at-home level runs a little high against an independent benchmark.</w:t>
      </w:r>
      <w:r>
        <w:t xml:space="preserve"> </w:t>
      </w:r>
      <w:r>
        <w:t xml:space="preserve">An internal check</w:t>
      </w:r>
      <w:r>
        <w:t xml:space="preserve"> </w:t>
      </w:r>
      <w:r>
        <w:t xml:space="preserve">compares the population’s simulated share of time at home against an external observed anchor, with an</w:t>
      </w:r>
      <w:r>
        <w:t xml:space="preserve"> </w:t>
      </w:r>
      <w:r>
        <w:t xml:space="preserve">allowed band of 2 percentage points. The chosen 2022 housing stock scores 75.04% against a 72.3%</w:t>
      </w:r>
      <w:r>
        <w:t xml:space="preserve"> </w:t>
      </w:r>
      <w:r>
        <w:t xml:space="preserve">anchor, a gap of 2.74 points, just outside the band; the band was not widened to accommodate this. The</w:t>
      </w:r>
      <w:r>
        <w:t xml:space="preserve"> </w:t>
      </w:r>
      <w:r>
        <w:t xml:space="preserve">gap traces mostly to how synthetic (model-generated) diaries and unweighted averaging behave, not to</w:t>
      </w:r>
      <w:r>
        <w:t xml:space="preserve"> </w:t>
      </w:r>
      <w:r>
        <w:t xml:space="preserve">the real, weighted 2022 survey respondents, who sit on the anchor at 72.31%. This is reported as a</w:t>
      </w:r>
      <w:r>
        <w:t xml:space="preserve"> </w:t>
      </w:r>
      <w:r>
        <w:t xml:space="preserve">result, not hidden or waived.</w:t>
      </w:r>
    </w:p>
    <w:p>
      <w:pPr>
        <w:pStyle w:val="BodyText"/>
      </w:pPr>
      <w:r>
        <w:rPr>
          <w:b/>
          <w:bCs/>
        </w:rPr>
        <w:t xml:space="preserve">Weekend behaviour is harder to reproduce than weekday behaviour.</w:t>
      </w:r>
      <w:r>
        <w:t xml:space="preserve"> </w:t>
      </w:r>
      <w:r>
        <w:t xml:space="preserve">This study fixed one</w:t>
      </w:r>
      <w:r>
        <w:t xml:space="preserve"> </w:t>
      </w:r>
      <w:r>
        <w:t xml:space="preserve">distributional-distance ceiling of 0.10 for every day type before looking at results. Weekday scores</w:t>
      </w:r>
      <w:r>
        <w:t xml:space="preserve"> </w:t>
      </w:r>
      <w:r>
        <w:t xml:space="preserve">pass comfortably (0.0619 to 0.0630). Saturday and Sunday do not meet this ceiling in either of the two</w:t>
      </w:r>
      <w:r>
        <w:t xml:space="preserve"> </w:t>
      </w:r>
      <w:r>
        <w:t xml:space="preserve">validation checks (0.16 to 0.18). Splitting the weekend evaluation set apart shows the gap sits almost</w:t>
      </w:r>
      <w:r>
        <w:t xml:space="preserve"> </w:t>
      </w:r>
      <w:r>
        <w:t xml:space="preserve">entirely in diary-days the model had to fill in because a respondent’s diary covered a different day</w:t>
      </w:r>
      <w:r>
        <w:t xml:space="preserve"> </w:t>
      </w:r>
      <w:r>
        <w:t xml:space="preserve">type: genuinely observed weekend diaries alone score 0.036 (Saturday) and 0.040 (Sunday), well inside</w:t>
      </w:r>
      <w:r>
        <w:t xml:space="preserve"> </w:t>
      </w:r>
      <w:r>
        <w:t xml:space="preserve">the ceiling, while the filled-in weekend rows score 0.138 to 0.175 away from real behaviour. Increasing</w:t>
      </w:r>
      <w:r>
        <w:t xml:space="preserve"> </w:t>
      </w:r>
      <w:r>
        <w:t xml:space="preserve">the training weight on weekends twice moved this gap by only about 0.005, so it is not simply an</w:t>
      </w:r>
      <w:r>
        <w:t xml:space="preserve"> </w:t>
      </w:r>
      <w:r>
        <w:t xml:space="preserve">undertrained model. A wider ceiling of 0.20 was considered after these numbers were seen and is</w:t>
      </w:r>
      <w:r>
        <w:t xml:space="preserve"> </w:t>
      </w:r>
      <w:r>
        <w:t xml:space="preserve">disclosed once in the supplementary material; it is not used anywhere in this paper, and no weekend</w:t>
      </w:r>
      <w:r>
        <w:t xml:space="preserve"> </w:t>
      </w:r>
      <w:r>
        <w:t xml:space="preserve">result in the main text or the supplementary material should be read as having passed a ceiling that</w:t>
      </w:r>
      <w:r>
        <w:t xml:space="preserve"> </w:t>
      </w:r>
      <w:r>
        <w:t xml:space="preserve">was set before the fact. Full detail is in the supplementary material, Section S.3.</w:t>
      </w:r>
    </w:p>
    <w:p>
      <w:pPr>
        <w:pStyle w:val="BodyText"/>
      </w:pPr>
      <w:r>
        <w:rPr>
          <w:b/>
          <w:bCs/>
        </w:rPr>
        <w:t xml:space="preserve">The 2030 results are a scenario, not a forecast.</w:t>
      </w:r>
      <w:r>
        <w:t xml:space="preserve"> </w:t>
      </w:r>
      <w:r>
        <w:t xml:space="preserve">The 2030 schedules keep the exact same households</w:t>
      </w:r>
      <w:r>
        <w:t xml:space="preserve"> </w:t>
      </w:r>
      <w:r>
        <w:t xml:space="preserve">and the exact same person-to-diary assignments as the chosen 2022 stock; only each household’s</w:t>
      </w:r>
      <w:r>
        <w:t xml:space="preserve"> </w:t>
      </w:r>
      <w:r>
        <w:t xml:space="preserve">probability of being home in a given time slot is shifted, by an amount equal to eight times a linear</w:t>
      </w:r>
      <w:r>
        <w:t xml:space="preserve"> </w:t>
      </w:r>
      <w:r>
        <w:t xml:space="preserve">trend fitted to real respondents from 2005, 2010 and 2015 (the years before the survey was disrupted),</w:t>
      </w:r>
      <w:r>
        <w:t xml:space="preserve"> </w:t>
      </w:r>
      <w:r>
        <w:t xml:space="preserve">clipped to stay between 0% and 100%. No uncertainty range, no policy change, and no alternative</w:t>
      </w:r>
      <w:r>
        <w:t xml:space="preserve"> </w:t>
      </w:r>
      <w:r>
        <w:t xml:space="preserve">trajectory for remote work or household composition is built into this projection: it extends one</w:t>
      </w:r>
      <w:r>
        <w:t xml:space="preserve"> </w:t>
      </w:r>
      <w:r>
        <w:t xml:space="preserve">historical trend forward by a fixed amount on a fixed population. The paper’s scenario range (partial</w:t>
      </w:r>
      <w:r>
        <w:t xml:space="preserve"> </w:t>
      </w:r>
      <w:r>
        <w:t xml:space="preserve">and full versions of this same shift) should be read as bounding one assumption about how far a</w:t>
      </w:r>
      <w:r>
        <w:t xml:space="preserve"> </w:t>
      </w:r>
      <w:r>
        <w:t xml:space="preserve">pre-existing trend continues, not as a probabilistic forecast of 2030 occupancy.</w:t>
      </w:r>
    </w:p>
    <w:p>
      <w:pPr>
        <w:pStyle w:val="BodyText"/>
      </w:pPr>
      <w:r>
        <w:rPr>
          <w:b/>
          <w:bCs/>
        </w:rPr>
        <w:t xml:space="preserve">Saturday and Sunday are simulated as one day.</w:t>
      </w:r>
      <w:r>
        <w:t xml:space="preserve"> </w:t>
      </w:r>
      <w:r>
        <w:t xml:space="preserve">The schedules handed to the building energy model</w:t>
      </w:r>
      <w:r>
        <w:t xml:space="preserve"> </w:t>
      </w:r>
      <w:r>
        <w:t xml:space="preserve">carry two daily patterns per household, a weekday pattern and a weekend pattern. Saturday and Sunday</w:t>
      </w:r>
      <w:r>
        <w:t xml:space="preserve"> </w:t>
      </w:r>
      <w:r>
        <w:t xml:space="preserve">are pooled into that single weekend pattern, although the model that generates the diaries keeps the</w:t>
      </w:r>
      <w:r>
        <w:t xml:space="preserve"> </w:t>
      </w:r>
      <w:r>
        <w:t xml:space="preserve">three day types apart and calibrates a different at-home level for each. The pooling therefore discards</w:t>
      </w:r>
      <w:r>
        <w:t xml:space="preserve"> </w:t>
      </w:r>
      <w:r>
        <w:t xml:space="preserve">a genuine, measured difference between the two weekend days for every simulated household and every</w:t>
      </w:r>
      <w:r>
        <w:t xml:space="preserve"> </w:t>
      </w:r>
      <w:r>
        <w:t xml:space="preserve">simulated year. It is a property of the interface to the building energy model, which reads only a</w:t>
      </w:r>
      <w:r>
        <w:t xml:space="preserve"> </w:t>
      </w:r>
      <w:r>
        <w:t xml:space="preserve">weekday and a weekend pattern, and not of the occupant model itself; the supplementary material states</w:t>
      </w:r>
      <w:r>
        <w:t xml:space="preserve"> </w:t>
      </w:r>
      <w:r>
        <w:t xml:space="preserve">where it happens and what size of difference is lost.</w:t>
      </w:r>
    </w:p>
    <w:p>
      <w:pPr>
        <w:pStyle w:val="BodyText"/>
      </w:pPr>
      <w:r>
        <w:rPr>
          <w:b/>
          <w:bCs/>
        </w:rPr>
        <w:t xml:space="preserve">The survey’s method of collecting diaries changed in the same year that carries the pandemic</w:t>
      </w:r>
      <w:r>
        <w:rPr>
          <w:b/>
          <w:bCs/>
        </w:rPr>
        <w:t xml:space="preserve"> </w:t>
      </w:r>
      <w:r>
        <w:rPr>
          <w:b/>
          <w:bCs/>
        </w:rPr>
        <w:t xml:space="preserve">break.</w:t>
      </w:r>
      <w:r>
        <w:t xml:space="preserve"> </w:t>
      </w:r>
      <w:r>
        <w:t xml:space="preserve">For the 2005, 2010 and 2015 cycles, the diaries behind this paper were collected by</w:t>
      </w:r>
      <w:r>
        <w:t xml:space="preserve"> </w:t>
      </w:r>
      <w:r>
        <w:t xml:space="preserve">telephone interview; starting with the 2022 cycle, the same survey moved to a self-administered</w:t>
      </w:r>
      <w:r>
        <w:t xml:space="preserve"> </w:t>
      </w:r>
      <w:r>
        <w:t xml:space="preserve">electronic questionnaire that the respondent fills in rather than an interviewer reading it out. This</w:t>
      </w:r>
      <w:r>
        <w:t xml:space="preserve"> </w:t>
      </w:r>
      <w:r>
        <w:t xml:space="preserve">change in collection method lands on exactly the one survey year, 2022, that this paper also treats</w:t>
      </w:r>
      <w:r>
        <w:t xml:space="preserve"> </w:t>
      </w:r>
      <w:r>
        <w:t xml:space="preserve">as carrying the pandemic-era shift toward more time spent at home, and there is no earlier or later</w:t>
      </w:r>
      <w:r>
        <w:t xml:space="preserve"> </w:t>
      </w:r>
      <w:r>
        <w:t xml:space="preserve">wave collected in the new method to compare against, so the two changes cannot be told apart with</w:t>
      </w:r>
      <w:r>
        <w:t xml:space="preserve"> </w:t>
      </w:r>
      <w:r>
        <w:t xml:space="preserve">these data. The collection-mode indicator in the source data is zero for the</w:t>
      </w:r>
      <w:r>
        <w:t xml:space="preserve"> </w:t>
      </w:r>
      <w:r>
        <w:t xml:space="preserve">2005, 2010 and 2015 cycles and one only for 2022, so in this design the change of method and the</w:t>
      </w:r>
      <w:r>
        <w:t xml:space="preserve"> </w:t>
      </w:r>
      <w:r>
        <w:t xml:space="preserve">pandemic-era shift are perfectly confounded: an effect of the new method cannot be estimated</w:t>
      </w:r>
      <w:r>
        <w:t xml:space="preserve"> </w:t>
      </w:r>
      <w:r>
        <w:t xml:space="preserve">separately from a genuine change in behaviour, in either direction. This paper therefore treats the</w:t>
      </w:r>
      <w:r>
        <w:t xml:space="preserve"> </w:t>
      </w:r>
      <w:r>
        <w:t xml:space="preserve">possibility that part of the 2022 step reflects how the diaries were collected as neither supported</w:t>
      </w:r>
      <w:r>
        <w:t xml:space="preserve"> </w:t>
      </w:r>
      <w:r>
        <w:t xml:space="preserve">nor excluded by its own evidence. This does not overturn the direction of the result (more at-home time is</w:t>
      </w:r>
      <w:r>
        <w:t xml:space="preserve"> </w:t>
      </w:r>
      <w:r>
        <w:t xml:space="preserve">recorded in 2022 than in 2015), which is independently supported by the wider pandemic literature; it</w:t>
      </w:r>
      <w:r>
        <w:t xml:space="preserve"> </w:t>
      </w:r>
      <w:r>
        <w:t xml:space="preserve">does mean that the exact size of that step, and anything built forward from it, including the 2030</w:t>
      </w:r>
      <w:r>
        <w:t xml:space="preserve"> </w:t>
      </w:r>
      <w:r>
        <w:t xml:space="preserve">scenarios above (which extend a trend fitted partly across this same 2015-to-2022 boundary), carries an</w:t>
      </w:r>
      <w:r>
        <w:t xml:space="preserve"> </w:t>
      </w:r>
      <w:r>
        <w:t xml:space="preserve">amount of survey-design effect that this study cannot measure or remove.</w:t>
      </w:r>
    </w:p>
    <w:p>
      <w:pPr>
        <w:pStyle w:val="BodyText"/>
      </w:pPr>
      <w:r>
        <w:rPr>
          <w:b/>
          <w:bCs/>
        </w:rPr>
        <w:t xml:space="preserve">Three further limitations concern modelling assumptions.</w:t>
      </w:r>
      <w:r>
        <w:t xml:space="preserve"> </w:t>
      </w:r>
      <w:r>
        <w:t xml:space="preserve">First, the 2030 schedules</w:t>
      </w:r>
      <w:r>
        <w:t xml:space="preserve"> </w:t>
      </w:r>
      <w:r>
        <w:t xml:space="preserve">use the same typical-year weather file as 2022, not a projected future-climate weather file, so the</w:t>
      </w:r>
      <w:r>
        <w:t xml:space="preserve"> </w:t>
      </w:r>
      <w:r>
        <w:t xml:space="preserve">results isolate the effect of behaviour change from the effect of a changing climate. Second, matching</w:t>
      </w:r>
      <w:r>
        <w:t xml:space="preserve"> </w:t>
      </w:r>
      <w:r>
        <w:t xml:space="preserve">census households to survey diaries assumes that, once the matching characteristics are accounted for,</w:t>
      </w:r>
      <w:r>
        <w:t xml:space="preserve"> </w:t>
      </w:r>
      <w:r>
        <w:t xml:space="preserve">the diary is otherwise assigned independently of anything not captured by those characteristics; this</w:t>
      </w:r>
      <w:r>
        <w:t xml:space="preserve"> </w:t>
      </w:r>
      <w:r>
        <w:t xml:space="preserve">assumption cannot be tested directly with the data used here. Third, the metabolic heat given off by</w:t>
      </w:r>
      <w:r>
        <w:t xml:space="preserve"> </w:t>
      </w:r>
      <w:r>
        <w:t xml:space="preserve">occupants is taken from a standard per-person value and is not independently calibrated against</w:t>
      </w:r>
      <w:r>
        <w:t xml:space="preserve"> </w:t>
      </w:r>
      <w:r>
        <w:t xml:space="preserve">measured internal gains in this study.</w:t>
      </w:r>
    </w:p>
    <w:bookmarkEnd w:id="98"/>
    <w:bookmarkStart w:id="99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This paper asked whether, and how, occupancy-driven change reshapes the Canadian residential load</w:t>
      </w:r>
      <w:r>
        <w:t xml:space="preserve"> </w:t>
      </w:r>
      <w:r>
        <w:t xml:space="preserve">curve at stock scale under explicit work-from-home scenarios carried to 2030 (Section 1.5). The</w:t>
      </w:r>
      <w:r>
        <w:t xml:space="preserve"> </w:t>
      </w:r>
      <w:r>
        <w:t xml:space="preserve">results support a specific answer: the timing of demand and the mix of end uses move more than the</w:t>
      </w:r>
      <w:r>
        <w:t xml:space="preserve"> </w:t>
      </w:r>
      <w:r>
        <w:t xml:space="preserve">annual total does. The principal findings are as follows.</w:t>
      </w:r>
    </w:p>
    <w:p>
      <w:pPr>
        <w:pStyle w:val="Compact"/>
        <w:numPr>
          <w:ilvl w:val="0"/>
          <w:numId w:val="1005"/>
        </w:numPr>
      </w:pPr>
      <w:r>
        <w:t xml:space="preserve">In 2022 the national weekday at-home rate sits 4.73 percentage points above the 2005 to 2015</w:t>
      </w:r>
      <w:r>
        <w:t xml:space="preserve"> </w:t>
      </w:r>
      <w:r>
        <w:t xml:space="preserve">trend. The three 2030 scenarios move the whole-day weekday at-home share by between 1.49 and</w:t>
      </w:r>
      <w:r>
        <w:t xml:space="preserve"> </w:t>
      </w:r>
      <w:r>
        <w:t xml:space="preserve">negative 3.21 percentage points from 2022, depending on how much of that break persists.</w:t>
      </w:r>
    </w:p>
    <w:p>
      <w:pPr>
        <w:pStyle w:val="Compact"/>
        <w:numPr>
          <w:ilvl w:val="0"/>
          <w:numId w:val="1005"/>
        </w:numPr>
      </w:pPr>
      <w:r>
        <w:t xml:space="preserve">Under the main persistence scenario, annual whole-building electricity in 2030 is nearly unchanged</w:t>
      </w:r>
      <w:r>
        <w:t xml:space="preserve"> </w:t>
      </w:r>
      <w:r>
        <w:t xml:space="preserve">from 2022, rising by 0.12 percent.</w:t>
      </w:r>
    </w:p>
    <w:p>
      <w:pPr>
        <w:pStyle w:val="Compact"/>
        <w:numPr>
          <w:ilvl w:val="0"/>
          <w:numId w:val="1005"/>
        </w:numPr>
      </w:pPr>
      <w:r>
        <w:t xml:space="preserve">Midday energy share and load factor both rise under the main scenario, by 0.73 and 0.49 percentage</w:t>
      </w:r>
      <w:r>
        <w:t xml:space="preserve"> </w:t>
      </w:r>
      <w:r>
        <w:t xml:space="preserve">points respectively, and both changes exclude zero; this is the change that matters most for grid</w:t>
      </w:r>
      <w:r>
        <w:t xml:space="preserve"> </w:t>
      </w:r>
      <w:r>
        <w:t xml:space="preserve">planning, not the near-flat annual total.</w:t>
      </w:r>
    </w:p>
    <w:p>
      <w:pPr>
        <w:pStyle w:val="Compact"/>
        <w:numPr>
          <w:ilvl w:val="0"/>
          <w:numId w:val="1005"/>
        </w:numPr>
      </w:pPr>
      <w:r>
        <w:t xml:space="preserve">The size, and even the direction, of the 2030 change depends on which persistence assumption is</w:t>
      </w:r>
      <w:r>
        <w:t xml:space="preserve"> </w:t>
      </w:r>
      <w:r>
        <w:t xml:space="preserve">used: a full reversion to the pre-pandemic trend gives a small real fall in annual electricity, a</w:t>
      </w:r>
      <w:r>
        <w:t xml:space="preserve"> </w:t>
      </w:r>
      <w:r>
        <w:t xml:space="preserve">partial-persistence assumption gives no change the data can tell apart from zero, and a</w:t>
      </w:r>
      <w:r>
        <w:t xml:space="preserve"> </w:t>
      </w:r>
      <w:r>
        <w:t xml:space="preserve">standardized-reversion check gives the largest fall of the three scenarios tested.</w:t>
      </w:r>
    </w:p>
    <w:p>
      <w:pPr>
        <w:pStyle w:val="Compact"/>
        <w:numPr>
          <w:ilvl w:val="0"/>
          <w:numId w:val="1005"/>
        </w:numPr>
      </w:pPr>
      <w:r>
        <w:t xml:space="preserve">A household-level, diary-based schedule and a simpler average-profile method differ in annual</w:t>
      </w:r>
      <w:r>
        <w:t xml:space="preserve"> </w:t>
      </w:r>
      <w:r>
        <w:t xml:space="preserve">total by about 9 percent in the illustrative cell, but give very different pictures of when</w:t>
      </w:r>
      <w:r>
        <w:t xml:space="preserve"> </w:t>
      </w:r>
      <w:r>
        <w:t xml:space="preserve">different households reach their own peak; the average-profile method collapses household-to-household diversity in peak</w:t>
      </w:r>
      <w:r>
        <w:t xml:space="preserve"> </w:t>
      </w:r>
      <w:r>
        <w:t xml:space="preserve">timing almost to zero by construction, while the full model preserves it.</w:t>
      </w:r>
    </w:p>
    <w:p>
      <w:pPr>
        <w:pStyle w:val="Compact"/>
        <w:numPr>
          <w:ilvl w:val="0"/>
          <w:numId w:val="1005"/>
        </w:numPr>
      </w:pPr>
      <w:r>
        <w:t xml:space="preserve">Against a year of measured Toronto and Ontario electricity data, the simulated load shape sits</w:t>
      </w:r>
      <w:r>
        <w:t xml:space="preserve"> </w:t>
      </w:r>
      <w:r>
        <w:t xml:space="preserve">reasonably close to measured behaviour on some measures and not on others: the simulated peak</w:t>
      </w:r>
      <w:r>
        <w:t xml:space="preserve"> </w:t>
      </w:r>
      <w:r>
        <w:t xml:space="preserve">arrives earlier in the day than the measured peak, and the simulated peak-to-average ratio is lower</w:t>
      </w:r>
      <w:r>
        <w:t xml:space="preserve"> </w:t>
      </w:r>
      <w:r>
        <w:t xml:space="preserve">than the measured one. This is a check on the simulated shape, not a validation of the model as a</w:t>
      </w:r>
      <w:r>
        <w:t xml:space="preserve"> </w:t>
      </w:r>
      <w:r>
        <w:t xml:space="preserve">whole.</w:t>
      </w:r>
    </w:p>
    <w:p>
      <w:pPr>
        <w:pStyle w:val="FirstParagraph"/>
      </w:pPr>
      <w:r>
        <w:t xml:space="preserve">The practical message is that this behavioural shift is mainly a shaping question for the electricity</w:t>
      </w:r>
      <w:r>
        <w:t xml:space="preserve"> </w:t>
      </w:r>
      <w:r>
        <w:t xml:space="preserve">system rather than a sizing one: annual demand changes little under any of the scenarios tested, while</w:t>
      </w:r>
      <w:r>
        <w:t xml:space="preserve"> </w:t>
      </w:r>
      <w:r>
        <w:t xml:space="preserve">the share of energy delivered in the middle of the day and the ratio of average to peak load both rise</w:t>
      </w:r>
      <w:r>
        <w:t xml:space="preserve"> </w:t>
      </w:r>
      <w:r>
        <w:t xml:space="preserve">under the main scenario. Grid and distribution planning that tracks only annual totals would miss this.</w:t>
      </w:r>
    </w:p>
    <w:p>
      <w:pPr>
        <w:pStyle w:val="BodyText"/>
      </w:pPr>
      <w:r>
        <w:t xml:space="preserve">Three items follow from the limitations in Section 5 and are left here as future work, not claimed as</w:t>
      </w:r>
      <w:r>
        <w:t xml:space="preserve"> </w:t>
      </w:r>
      <w:r>
        <w:t xml:space="preserve">results. First, the 2030 scenarios use the same typical-year weather file as 2022; a projected</w:t>
      </w:r>
      <w:r>
        <w:t xml:space="preserve"> </w:t>
      </w:r>
      <w:r>
        <w:t xml:space="preserve">future-climate weather file would separate behavioural change from climate change. Second, the</w:t>
      </w:r>
      <w:r>
        <w:t xml:space="preserve"> </w:t>
      </w:r>
      <w:r>
        <w:t xml:space="preserve">measured check here covers only Toronto and Ontario electricity in one year; extending it to other</w:t>
      </w:r>
      <w:r>
        <w:t xml:space="preserve"> </w:t>
      </w:r>
      <w:r>
        <w:t xml:space="preserve">cities and years would give a fuller picture of where the simulated shape</w:t>
      </w:r>
      <w:r>
        <w:t xml:space="preserve"> </w:t>
      </w:r>
      <w:r>
        <w:t xml:space="preserve">matches measured behaviour. Third, once a citable, Canada-specific account of the work-from-home trend</w:t>
      </w:r>
      <w:r>
        <w:t xml:space="preserve"> </w:t>
      </w:r>
      <w:r>
        <w:t xml:space="preserve">after 2022 is available, it could narrow the scenario range tested here rather than leave it as a</w:t>
      </w:r>
      <w:r>
        <w:t xml:space="preserve"> </w:t>
      </w:r>
      <w:r>
        <w:t xml:space="preserve">bracket running from full persistence to full reversion.</w:t>
      </w:r>
    </w:p>
    <w:bookmarkEnd w:id="99"/>
    <w:bookmarkStart w:id="135" w:name="references"/>
    <w:p>
      <w:pPr>
        <w:pStyle w:val="Heading1"/>
      </w:pPr>
      <w:r>
        <w:t xml:space="preserve">References</w:t>
      </w:r>
    </w:p>
    <w:p>
      <w:pPr>
        <w:pStyle w:val="FirstParagraph"/>
      </w:pPr>
      <w:bookmarkStart w:id="100" w:name="ref-abdeen2021"/>
      <w:bookmarkEnd w:id="100"/>
      <w:r>
        <w:t xml:space="preserve">Abdeen, A., Kharvari, F., O’Brien, W. and Gunay, B. (2021). The impact of the COVID-19 on households’ hourly electricity consumption in Canada.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250, 111280. https://doi.org/10.1016/j.enbuild.2021.111280.</w:t>
      </w:r>
      <w:r>
        <w:t xml:space="preserve"> </w:t>
      </w:r>
      <w:bookmarkStart w:id="101" w:name="ref-aerts2014"/>
      <w:bookmarkEnd w:id="101"/>
      <w:r>
        <w:t xml:space="preserve">Aerts, D., Minnen, J., Glorieux, I., Wouters, I. and Descamps, F. (2014). A method for the identification and modelling of realistic domestic occupancy sequences for building energy demand simulations and peer comparison.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75, pp. 67–78. https://doi.org/10.1016/j.buildenv.2014.01.021.</w:t>
      </w:r>
      <w:r>
        <w:t xml:space="preserve"> </w:t>
      </w:r>
      <w:bookmarkStart w:id="102" w:name="ref-armstrong2009"/>
      <w:bookmarkEnd w:id="102"/>
      <w:r>
        <w:t xml:space="preserve">Armstrong, M.M., Swinton, M.C., Ribberink, H., Beausoleil-Morrison, I. and Millette, J. (2009). Synthetically derived profiles for representing occupant-driven electric loads in Canadian housing.</w:t>
      </w:r>
      <w:r>
        <w:t xml:space="preserve"> </w:t>
      </w:r>
      <w:r>
        <w:rPr>
          <w:i/>
          <w:iCs/>
        </w:rPr>
        <w:t xml:space="preserve">Journal of Building Performance Simulation</w:t>
      </w:r>
      <w:r>
        <w:t xml:space="preserve">, 2(1), pp. 15–30. https://doi.org/10.1080/19401490802706653.</w:t>
      </w:r>
      <w:r>
        <w:t xml:space="preserve"> </w:t>
      </w:r>
      <w:bookmarkStart w:id="103" w:name="ref-barrero2021"/>
      <w:bookmarkEnd w:id="103"/>
      <w:r>
        <w:t xml:space="preserve">Barrero, J.M., Bloom, N. and Davis, S.J. (2021). Why working from home will stick.</w:t>
      </w:r>
      <w:r>
        <w:t xml:space="preserve"> </w:t>
      </w:r>
      <w:r>
        <w:rPr>
          <w:i/>
          <w:iCs/>
        </w:rPr>
        <w:t xml:space="preserve">NBER Working Paper No. 28731</w:t>
      </w:r>
      <w:r>
        <w:t xml:space="preserve">. https://doi.org/10.3386/w28731.</w:t>
      </w:r>
      <w:r>
        <w:t xml:space="preserve"> </w:t>
      </w:r>
      <w:bookmarkStart w:id="104" w:name="ref-barrero2023"/>
      <w:bookmarkEnd w:id="104"/>
      <w:r>
        <w:t xml:space="preserve">Barrero, J.M., Bloom, N. and Davis, S.J. (2023). The evolution of work from home.</w:t>
      </w:r>
      <w:r>
        <w:t xml:space="preserve"> </w:t>
      </w:r>
      <w:r>
        <w:rPr>
          <w:i/>
          <w:iCs/>
        </w:rPr>
        <w:t xml:space="preserve">Journal of Economic Perspectives</w:t>
      </w:r>
      <w:r>
        <w:t xml:space="preserve">, 37(4), pp. 23–50. https://doi.org/10.1257/jep.37.4.23.</w:t>
      </w:r>
      <w:r>
        <w:t xml:space="preserve"> </w:t>
      </w:r>
      <w:bookmarkStart w:id="105" w:name="ref-chen2022"/>
      <w:bookmarkEnd w:id="105"/>
      <w:r>
        <w:t xml:space="preserve">Chen, J., Adhikari, R., Wilson, E., Robertson, J., Fontanini, A., Polly, B. and Olawale, O. (2022). Stochastic simulation of occupant-driven energy use in a bottom-up residential building stock model.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, 325, 119890. https://doi.org/10.1016/j.apenergy.2022.119890.</w:t>
      </w:r>
      <w:r>
        <w:t xml:space="preserve"> </w:t>
      </w:r>
      <w:bookmarkStart w:id="106" w:name="ref-chiou2011"/>
      <w:bookmarkEnd w:id="106"/>
      <w:r>
        <w:t xml:space="preserve">Chiou, Y.-S., Carley, K.M., Davidson, C.I. and Johnson, M.P. (2011). A high spatial resolution residential energy model based on American Time Use Survey data and the bootstrap sampling method.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43(12), pp. 3528–3538. https://doi.org/10.1016/j.enbuild.2011.09.020.</w:t>
      </w:r>
      <w:r>
        <w:t xml:space="preserve"> </w:t>
      </w:r>
      <w:bookmarkStart w:id="107" w:name="ref-cicala2023"/>
      <w:bookmarkEnd w:id="107"/>
      <w:r>
        <w:t xml:space="preserve">Cicala, S. (2023). JUE Insight: Powering work from home.</w:t>
      </w:r>
      <w:r>
        <w:t xml:space="preserve"> </w:t>
      </w:r>
      <w:r>
        <w:rPr>
          <w:i/>
          <w:iCs/>
        </w:rPr>
        <w:t xml:space="preserve">Journal of Urban Economics</w:t>
      </w:r>
      <w:r>
        <w:t xml:space="preserve">, 133, 103474. https://doi.org/10.1016/j.jue.2022.103474.</w:t>
      </w:r>
      <w:r>
        <w:t xml:space="preserve"> </w:t>
      </w:r>
      <w:bookmarkStart w:id="108" w:name="ref-denholm2015"/>
      <w:bookmarkEnd w:id="108"/>
      <w:r>
        <w:t xml:space="preserve">Denholm, P., O’Connell, M., Brinkman, G. and Jorgenson, J. (2015).</w:t>
      </w:r>
      <w:r>
        <w:t xml:space="preserve"> </w:t>
      </w:r>
      <w:r>
        <w:rPr>
          <w:i/>
          <w:iCs/>
        </w:rPr>
        <w:t xml:space="preserve">Overgeneration from Solar Energy in California: A Field Guide to the Duck Chart</w:t>
      </w:r>
      <w:r>
        <w:t xml:space="preserve">. National Renewable Energy Laboratory, Technical Report NREL/TP-6A20-65023. https://doi.org/10.2172/1226167.</w:t>
      </w:r>
      <w:r>
        <w:t xml:space="preserve"> </w:t>
      </w:r>
      <w:bookmarkStart w:id="109" w:name="ref-dewilde2014"/>
      <w:bookmarkEnd w:id="109"/>
      <w:r>
        <w:t xml:space="preserve">de Wilde, P. (2014). The gap between predicted and measured energy performance of buildings: A framework for investigation.</w:t>
      </w:r>
      <w:r>
        <w:t xml:space="preserve"> </w:t>
      </w:r>
      <w:r>
        <w:rPr>
          <w:i/>
          <w:iCs/>
        </w:rPr>
        <w:t xml:space="preserve">Automation in Construction</w:t>
      </w:r>
      <w:r>
        <w:t xml:space="preserve">, 41, pp. 40–49. https://doi.org/10.1016/j.autcon.2014.02.009.</w:t>
      </w:r>
      <w:r>
        <w:t xml:space="preserve"> </w:t>
      </w:r>
      <w:bookmarkStart w:id="110" w:name="ref-elsayed2023"/>
      <w:bookmarkEnd w:id="110"/>
      <w:r>
        <w:t xml:space="preserve">Elsayed, M. et al. (2023). Post-occupancy evaluation in residential buildings: A systematic literature review of current practices in the EU.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236, 110307. https://doi.org/10.1016/j.buildenv.2023.110307.</w:t>
      </w:r>
      <w:r>
        <w:t xml:space="preserve"> </w:t>
      </w:r>
      <w:bookmarkStart w:id="111" w:name="ref-eurostat2018"/>
      <w:bookmarkEnd w:id="111"/>
      <w:r>
        <w:t xml:space="preserve">Eurostat (2018).</w:t>
      </w:r>
      <w:r>
        <w:t xml:space="preserve"> </w:t>
      </w:r>
      <w:r>
        <w:rPr>
          <w:i/>
          <w:iCs/>
        </w:rPr>
        <w:t xml:space="preserve">Harmonised European Time Use Surveys (HETUS): 2018 Guidelines</w:t>
      </w:r>
      <w:r>
        <w:t xml:space="preserve">. Luxembourg: Publications Office of the European Union (KS-GQ-19-003; re-edition 2020, KS-GQ-20-011). https://ec.europa.eu/eurostat/web/products-manuals-and-guidelines/-/ks-gq-19-003.</w:t>
      </w:r>
      <w:r>
        <w:t xml:space="preserve"> </w:t>
      </w:r>
      <w:bookmarkStart w:id="112" w:name="ref-ferreira2024"/>
      <w:bookmarkEnd w:id="112"/>
      <w:r>
        <w:t xml:space="preserve">Ferreira, S., Gunay, B., Papineau, M. and Nojedehi, P. (2024). From time to energy use: shaping high-resolution residential Canadian appliance use models.</w:t>
      </w:r>
      <w:r>
        <w:t xml:space="preserve"> </w:t>
      </w:r>
      <w:r>
        <w:rPr>
          <w:i/>
          <w:iCs/>
        </w:rPr>
        <w:t xml:space="preserve">eSim 2024 (IBPSA-Canada)</w:t>
      </w:r>
      <w:r>
        <w:t xml:space="preserve">. https://publications.ibpsa.org/proceedings/esim/2024/esim2024_149.pdf.</w:t>
      </w:r>
      <w:r>
        <w:t xml:space="preserve"> </w:t>
      </w:r>
      <w:bookmarkStart w:id="113" w:name="ref-fischer2020"/>
      <w:bookmarkEnd w:id="113"/>
      <w:r>
        <w:t xml:space="preserve">Fischer, D., Surmann, A., Biener, W. and Selinger-Lutz, O. (2020). From residential electric load profiles to flexibility profiles — A stochastic bottom-up approach.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224, 110133. https://doi.org/10.1016/j.enbuild.2020.110133.</w:t>
      </w:r>
      <w:r>
        <w:t xml:space="preserve"> </w:t>
      </w:r>
      <w:bookmarkStart w:id="114" w:name="ref-hong2017"/>
      <w:bookmarkEnd w:id="114"/>
      <w:r>
        <w:t xml:space="preserve">Hong, T., Yan, D., D’Oca, S. and Chen, C. (2017). Ten questions concerning occupant behavior in buildings: The big picture.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114, pp. 518–530. https://doi.org/10.1016/j.buildenv.2016.12.006.</w:t>
      </w:r>
      <w:r>
        <w:t xml:space="preserve"> </w:t>
      </w:r>
      <w:bookmarkStart w:id="115" w:name="ref-iea2021"/>
      <w:bookmarkEnd w:id="115"/>
      <w:r>
        <w:t xml:space="preserve">International Energy Agency (2021).</w:t>
      </w:r>
      <w:r>
        <w:t xml:space="preserve"> </w:t>
      </w:r>
      <w:r>
        <w:rPr>
          <w:i/>
          <w:iCs/>
        </w:rPr>
        <w:t xml:space="preserve">Net Zero by 2050: A Roadmap for the Global Energy Sector</w:t>
      </w:r>
      <w:r>
        <w:t xml:space="preserve">. Paris: IEA. https://doi.org/10.1787/c8328405-en.</w:t>
      </w:r>
      <w:r>
        <w:t xml:space="preserve"> </w:t>
      </w:r>
      <w:bookmarkStart w:id="116" w:name="ref-iseri2026"/>
      <w:bookmarkEnd w:id="116"/>
      <w:r>
        <w:t xml:space="preserve">Iseri, O.K., Dino, I.G. and Kalkan, S. (2026). Occupancy modeling using population statistics and machine learning for urban residential built environment.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117155. https://doi.org/10.1016/j.enbuild.2026.117155.</w:t>
      </w:r>
      <w:r>
        <w:t xml:space="preserve"> </w:t>
      </w:r>
      <w:bookmarkStart w:id="117" w:name="ref-iseri2026-2"/>
      <w:bookmarkEnd w:id="117"/>
      <w:r>
        <w:t xml:space="preserve">Iseri, O.K. and Hachem-Vermette, C. (2026). Longitudinal analysis of occupancy-driven energy demand in Canadian residential buildings (2005–2025).</w:t>
      </w:r>
      <w:r>
        <w:t xml:space="preserve"> </w:t>
      </w:r>
      <w:r>
        <w:rPr>
          <w:i/>
          <w:iCs/>
        </w:rPr>
        <w:t xml:space="preserve">eSim 2026 (IBPSA-Canada)</w:t>
      </w:r>
      <w:r>
        <w:t xml:space="preserve">.</w:t>
      </w:r>
      <w:r>
        <w:t xml:space="preserve"> </w:t>
      </w:r>
      <w:bookmarkStart w:id="118" w:name="ref-jalilian2025"/>
      <w:bookmarkEnd w:id="118"/>
      <w:r>
        <w:t xml:space="preserve">Jalilian, M. and Kamel, R. (2025). Urban-scale building energy modeling under future climate scenarios: a scalable workflow and insights from Nassau County, New York.</w:t>
      </w:r>
      <w:r>
        <w:t xml:space="preserve"> </w:t>
      </w:r>
      <w:r>
        <w:rPr>
          <w:i/>
          <w:iCs/>
        </w:rPr>
        <w:t xml:space="preserve">Frontiers in Energy Research</w:t>
      </w:r>
      <w:r>
        <w:t xml:space="preserve">, 13, 1683787. https://doi.org/10.3389/fenrg.2025.1683787.</w:t>
      </w:r>
      <w:r>
        <w:t xml:space="preserve"> </w:t>
      </w:r>
      <w:bookmarkStart w:id="119" w:name="ref-mahdavi2021"/>
      <w:bookmarkEnd w:id="119"/>
      <w:r>
        <w:t xml:space="preserve">Mahdavi, A. et al. (2021). The Role of Occupants in Buildings’ Energy Performance Gap: Myth or Reality?</w:t>
      </w:r>
      <w:r>
        <w:t xml:space="preserve"> </w:t>
      </w:r>
      <w:r>
        <w:rPr>
          <w:i/>
          <w:iCs/>
        </w:rPr>
        <w:t xml:space="preserve">Sustainability</w:t>
      </w:r>
      <w:r>
        <w:t xml:space="preserve">, 13(6), 3146. https://doi.org/10.3390/su13063146.</w:t>
      </w:r>
      <w:r>
        <w:t xml:space="preserve"> </w:t>
      </w:r>
      <w:bookmarkStart w:id="120" w:name="ref-mitra2020"/>
      <w:bookmarkEnd w:id="120"/>
      <w:r>
        <w:t xml:space="preserve">Mitra, D., Steinmetz, N., Chu, Y. and Cetin, K.S. (2020). Typical occupancy profiles and behaviors in residential buildings in the United States.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210, 109713. https://doi.org/10.1016/j.enbuild.2019.109713.</w:t>
      </w:r>
      <w:r>
        <w:t xml:space="preserve"> </w:t>
      </w:r>
      <w:bookmarkStart w:id="121" w:name="ref-motuziene2022"/>
      <w:bookmarkEnd w:id="121"/>
      <w:r>
        <w:t xml:space="preserve">Motuzienė, V., Bielskus, J., Lapinskienė, V., Rynkun, G. and Bernatavičienė, J. (2022). Office buildings occupancy analysis and prediction associated with the impact of the COVID-19 pandemic.</w:t>
      </w:r>
      <w:r>
        <w:t xml:space="preserve"> </w:t>
      </w:r>
      <w:r>
        <w:rPr>
          <w:i/>
          <w:iCs/>
        </w:rPr>
        <w:t xml:space="preserve">Sustainable Cities and Society</w:t>
      </w:r>
      <w:r>
        <w:t xml:space="preserve">, 77, 103557. https://doi.org/10.1016/j.scs.2021.103557.</w:t>
      </w:r>
      <w:r>
        <w:t xml:space="preserve"> </w:t>
      </w:r>
      <w:bookmarkStart w:id="122" w:name="ref-obrien2020"/>
      <w:bookmarkEnd w:id="122"/>
      <w:r>
        <w:t xml:space="preserve">O’Brien, W., Wagner, A., Schweiker, M., Mahdavi, A., Day, J., Kjærgaard, M.B., Carlucci, S., Dong, B., Tahmasebi, F., Yan, D., Hong, T., Gunay, H.B., Nagy, Z., Miller, C. and Berger, C. (2020). Introducing IEA EBC Annex 79: Key challenges and opportunities in the field of occupant-centric building design and operation.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178, 106738. https://doi.org/10.1016/j.buildenv.2020.106738.</w:t>
      </w:r>
      <w:r>
        <w:t xml:space="preserve"> </w:t>
      </w:r>
      <w:bookmarkStart w:id="123" w:name="ref-osman2021"/>
      <w:bookmarkEnd w:id="123"/>
      <w:r>
        <w:t xml:space="preserve">Osman, M. and Ouf, M. (2021). A comprehensive review of time use surveys in modelling occupant presence and behavior.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196, 107785. https://doi.org/10.1016/j.buildenv.2021.107785.</w:t>
      </w:r>
      <w:r>
        <w:t xml:space="preserve"> </w:t>
      </w:r>
      <w:bookmarkStart w:id="124" w:name="ref-osman2023"/>
      <w:bookmarkEnd w:id="124"/>
      <w:r>
        <w:t xml:space="preserve">Osman, M., Ouf, M., Azar, E. and Dong, B. (2023). Stochastic bottom-up load profile generator for Canadian households’ electricity demand.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241, 110490. https://doi.org/10.1016/j.buildenv.2023.110490.</w:t>
      </w:r>
      <w:r>
        <w:t xml:space="preserve"> </w:t>
      </w:r>
      <w:bookmarkStart w:id="125" w:name="ref-reinhart2016"/>
      <w:bookmarkEnd w:id="125"/>
      <w:r>
        <w:t xml:space="preserve">Reinhart, C.F. and Cerezo Davila, C. (2016). Urban building energy modeling — A review of a nascent field.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97, pp. 196–202. https://doi.org/10.1016/j.buildenv.2015.12.001.</w:t>
      </w:r>
      <w:r>
        <w:t xml:space="preserve"> </w:t>
      </w:r>
      <w:bookmarkStart w:id="126" w:name="ref-richardson2008"/>
      <w:bookmarkEnd w:id="126"/>
      <w:r>
        <w:t xml:space="preserve">Richardson, I., Thomson, M. and Infield, D. (2008). A high-resolution domestic building occupancy model for energy demand simulations.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40(8), pp. 1560–1566. https://doi.org/10.1016/j.enbuild.2008.02.006.</w:t>
      </w:r>
      <w:r>
        <w:t xml:space="preserve"> </w:t>
      </w:r>
      <w:bookmarkStart w:id="127" w:name="ref-statcan2024a"/>
      <w:bookmarkEnd w:id="127"/>
      <w:r>
        <w:t xml:space="preserve">Statistics Canada (2024a). Time Use Survey. Statistical Data Documentation System, Record Number 4503. https://www23.statcan.gc.ca/imdb/p2SV.pl?Function=getSurvey&amp;SDDS=4503.</w:t>
      </w:r>
      <w:r>
        <w:t xml:space="preserve"> </w:t>
      </w:r>
      <w:bookmarkStart w:id="128" w:name="ref-statcan2024b"/>
      <w:bookmarkEnd w:id="128"/>
      <w:r>
        <w:t xml:space="preserve">Statistics Canada (2024b). More Canadians commuting in 2024.</w:t>
      </w:r>
      <w:r>
        <w:t xml:space="preserve"> </w:t>
      </w:r>
      <w:r>
        <w:rPr>
          <w:i/>
          <w:iCs/>
        </w:rPr>
        <w:t xml:space="preserve">The Daily</w:t>
      </w:r>
      <w:r>
        <w:t xml:space="preserve">, 26 August 2024. https://www150.statcan.gc.ca/n1/daily-quotidien/240826/dq240826a-eng.htm.</w:t>
      </w:r>
      <w:r>
        <w:t xml:space="preserve"> </w:t>
      </w:r>
      <w:bookmarkStart w:id="129" w:name="ref-widen2010"/>
      <w:bookmarkEnd w:id="129"/>
      <w:r>
        <w:t xml:space="preserve">Widén, J. and Wäckelgård, E. (2010). A high-resolution stochastic model of domestic activity patterns and electricity demand.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, 87(6), pp. 1880–1892. https://doi.org/10.1016/j.apenergy.2009.11.006.</w:t>
      </w:r>
      <w:r>
        <w:t xml:space="preserve"> </w:t>
      </w:r>
      <w:bookmarkStart w:id="130" w:name="ref-wilke2011"/>
      <w:bookmarkEnd w:id="130"/>
      <w:r>
        <w:t xml:space="preserve">Wilke, U., Haldi, F. and Robinson, D. (2011). A model of occupants’ activities based on time use survey data.</w:t>
      </w:r>
      <w:r>
        <w:t xml:space="preserve"> </w:t>
      </w:r>
      <w:r>
        <w:rPr>
          <w:i/>
          <w:iCs/>
        </w:rPr>
        <w:t xml:space="preserve">Proceedings of Building Simulation 2011 (IBPSA)</w:t>
      </w:r>
      <w:r>
        <w:t xml:space="preserve">.</w:t>
      </w:r>
      <w:r>
        <w:t xml:space="preserve"> </w:t>
      </w:r>
      <w:bookmarkStart w:id="131" w:name="ref-wilke2013"/>
      <w:bookmarkEnd w:id="131"/>
      <w:r>
        <w:t xml:space="preserve">Wilke, U., Haldi, F., Scartezzini, J.-L. and Robinson, D. (2013). A bottom-up stochastic model to predict building occupants’ time-dependent activities.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60, pp. 254–264. https://doi.org/10.1016/j.buildenv.2012.10.021.</w:t>
      </w:r>
      <w:r>
        <w:t xml:space="preserve"> </w:t>
      </w:r>
      <w:bookmarkStart w:id="132" w:name="ref-yan2015"/>
      <w:bookmarkEnd w:id="132"/>
      <w:r>
        <w:t xml:space="preserve">Yan, D., O’Brien, W., Hong, T., Feng, X., Gunay, H.B., Tahmasebi, F. and Mahdavi, A. (2015). Occupant behavior modeling for building performance simulation: Current state and future challenges.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107, pp. 264–278. https://doi.org/10.1016/j.enbuild.2015.08.032.</w:t>
      </w:r>
      <w:r>
        <w:t xml:space="preserve"> </w:t>
      </w:r>
      <w:bookmarkStart w:id="133" w:name="ref-yan2017"/>
      <w:bookmarkEnd w:id="133"/>
      <w:r>
        <w:t xml:space="preserve">Yan, D., Hong, T., Dong, B., Mahdavi, A., D’Oca, S., Gaetani, I. and Feng, X. (2017). IEA EBC Annex 66: Definition and simulation of occupant behavior in buildings.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, 156, pp. 258–270. https://doi.org/10.1016/j.enbuild.2017.09.084.</w:t>
      </w:r>
      <w:r>
        <w:t xml:space="preserve"> </w:t>
      </w:r>
      <w:bookmarkStart w:id="134" w:name="ref-yin2024"/>
      <w:bookmarkEnd w:id="134"/>
      <w:r>
        <w:t xml:space="preserve">Yin, R., Yamaguchi, Y., Zajch, A.M., Uchida, H. and Shimoda, Y. (2024). Long-term changes in time use and impacts on residential energy demand. In:</w:t>
      </w:r>
      <w:r>
        <w:t xml:space="preserve"> </w:t>
      </w:r>
      <w:r>
        <w:rPr>
          <w:i/>
          <w:iCs/>
        </w:rPr>
        <w:t xml:space="preserve">Proceedings of ASim 2024: 5th Asia Conference of IBPSA</w:t>
      </w:r>
      <w:r>
        <w:t xml:space="preserve">, Osaka, Japan, 8–10 December 2024 (Paper E17_asim2024_1285). Available at: https://publications.ibpsa.org/proceedings/asim/2024/papers/E17_asim2024_1285.pdf.</w:t>
      </w:r>
    </w:p>
    <w:bookmarkEnd w:id="135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90" Target="media/rId90.png" /><Relationship Type="http://schemas.openxmlformats.org/officeDocument/2006/relationships/image" Id="rId67" Target="media/rId67.png" /><Relationship Type="http://schemas.openxmlformats.org/officeDocument/2006/relationships/image" Id="rId86" Target="media/rId8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2026-09-21T19:17:21Z</dcterms:created>
  <dcterms:modified xsi:type="dcterms:W3CDTF">2026-09-21T19:17:21Z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