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view--softx-d-26-00798r1"/>
    <w:p>
      <w:pPr>
        <w:pStyle w:val="Heading1"/>
      </w:pPr>
      <w:r>
        <w:t xml:space="preserve">Review — SOFTX-D-26-00798R1</w:t>
      </w:r>
    </w:p>
    <w:p>
      <w:pPr>
        <w:pStyle w:val="FirstParagraph"/>
      </w:pPr>
      <w:r>
        <w:rPr>
          <w:b/>
          <w:bCs/>
        </w:rPr>
        <w:t xml:space="preserve">BuildOcc: A Large Language Model Occupant Agent Platform for Building Energy Research</w:t>
      </w:r>
      <w:r>
        <w:t xml:space="preserve"> </w:t>
      </w:r>
      <w:r>
        <w:t xml:space="preserve">Reviewer: O. K. Iseri, Concordia University · 2026-08-21 · Confidential</w:t>
      </w:r>
    </w:p>
    <w:p>
      <w:pPr>
        <w:pStyle w:val="BodyText"/>
      </w:pPr>
      <w:r>
        <w:rPr>
          <w:b/>
          <w:bCs/>
        </w:rPr>
        <w:t xml:space="preserve">Recommendation: minor revision.</w:t>
      </w:r>
    </w:p>
    <w:p>
      <w:pPr>
        <w:pStyle w:val="BodyText"/>
      </w:pPr>
      <w:r>
        <w:t xml:space="preserve">The software is well built and the R1 responses are good — the withdrawal of the 1200-fold claim</w:t>
      </w:r>
      <w:r>
        <w:t xml:space="preserve"> </w:t>
      </w:r>
      <w:r>
        <w:t xml:space="preserve">was handled exactly right. I installed the package and ran the scheduler; everything below is a</w:t>
      </w:r>
      <w:r>
        <w:t xml:space="preserve"> </w:t>
      </w:r>
      <w:r>
        <w:t xml:space="preserve">small, concrete fix.</w:t>
      </w:r>
    </w:p>
    <w:p>
      <w:pPr>
        <w:pStyle w:val="BodyText"/>
      </w:pPr>
      <w:r>
        <w:rPr>
          <w:b/>
          <w:bCs/>
        </w:rPr>
        <w:t xml:space="preserve">Ratings</w:t>
      </w:r>
      <w:r>
        <w:t xml:space="preserve"> </w:t>
      </w:r>
      <w:r>
        <w:t xml:space="preserve">— Significance/impact:</w:t>
      </w:r>
      <w:r>
        <w:t xml:space="preserve"> </w:t>
      </w:r>
      <w:r>
        <w:rPr>
          <w:b/>
          <w:bCs/>
        </w:rPr>
        <w:t xml:space="preserve">Good</w:t>
      </w:r>
      <w:r>
        <w:t xml:space="preserve"> </w:t>
      </w:r>
      <w:r>
        <w:t xml:space="preserve">· Software and documentation:</w:t>
      </w:r>
      <w:r>
        <w:t xml:space="preserve"> </w:t>
      </w:r>
      <w:r>
        <w:rPr>
          <w:b/>
          <w:bCs/>
        </w:rPr>
        <w:t xml:space="preserve">Good</w:t>
      </w:r>
      <w:r>
        <w:t xml:space="preserve"> </w:t>
      </w:r>
      <w:r>
        <w:t xml:space="preserve">· Able to</w:t>
      </w:r>
      <w:r>
        <w:t xml:space="preserve"> </w:t>
      </w:r>
      <w:r>
        <w:t xml:space="preserve">install and run: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buildocc</w:t>
      </w:r>
      <w:r>
        <w:t xml:space="preserve">, imports as</w:t>
      </w:r>
      <w:r>
        <w:t xml:space="preserve"> </w:t>
      </w:r>
      <w:r>
        <w:rPr>
          <w:rStyle w:val="VerbatimChar"/>
        </w:rPr>
        <w:t xml:space="preserve">occupant_agent</w:t>
      </w:r>
      <w:r>
        <w:t xml:space="preserve">, ran with no API</w:t>
      </w:r>
      <w:r>
        <w:t xml:space="preserve"> </w:t>
      </w:r>
      <w:r>
        <w:t xml:space="preserve">key) · Manuscript quality:</w:t>
      </w:r>
      <w:r>
        <w:t xml:space="preserve"> </w:t>
      </w:r>
      <w:r>
        <w:rPr>
          <w:b/>
          <w:bCs/>
        </w:rPr>
        <w:t xml:space="preserve">Fair to good</w:t>
      </w:r>
    </w:p>
    <w:p>
      <w:r>
        <w:pict>
          <v:rect style="width:0;height:1.5pt" o:hralign="center" o:hrstd="t" o:hr="t"/>
        </w:pict>
      </w:r>
    </w:p>
    <w:bookmarkStart w:id="9" w:name="main-points"/>
    <w:p>
      <w:pPr>
        <w:pStyle w:val="Heading2"/>
      </w:pPr>
      <w:r>
        <w:t xml:space="preserve">Main points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shipped activity table has no data for hours 00:00–03:59, and thins out through the</w:t>
      </w:r>
      <w:r>
        <w:rPr>
          <w:b/>
          <w:bCs/>
        </w:rPr>
        <w:t xml:space="preserve"> </w:t>
      </w:r>
      <w:r>
        <w:rPr>
          <w:b/>
          <w:bCs/>
        </w:rPr>
        <w:t xml:space="preserve">evening.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occupant_agent/data/time_at_activity.csv</w:t>
      </w:r>
      <w:r>
        <w:t xml:space="preserve"> </w:t>
      </w:r>
      <w:r>
        <w:t xml:space="preserve">the eight category percentages should</w:t>
      </w:r>
      <w:r>
        <w:t xml:space="preserve"> </w:t>
      </w:r>
      <w:r>
        <w:t xml:space="preserve">total 100 in every (stratum, day type, hour) cell. They total 0.00 for hours 0–3, and 82 / 67 /</w:t>
      </w:r>
      <w:r>
        <w:t xml:space="preserve"> </w:t>
      </w:r>
      <w:r>
        <w:t xml:space="preserve">35 / 6 for hours 20 / 21 / 22 / 23.</w:t>
      </w:r>
      <w:r>
        <w:t xml:space="preserve"> </w:t>
      </w:r>
      <w:r>
        <w:rPr>
          <w:rStyle w:val="VerbatimChar"/>
        </w:rPr>
        <w:t xml:space="preserve">scheduler.py</w:t>
      </w:r>
      <w:r>
        <w:t xml:space="preserve"> </w:t>
      </w:r>
      <w:r>
        <w:t xml:space="preserve">fills hours 0–3 by returning the literal</w:t>
      </w:r>
      <w:r>
        <w:t xml:space="preserve"> </w:t>
      </w:r>
      <w:r>
        <w:rPr>
          <w:rStyle w:val="VerbatimChar"/>
        </w:rPr>
        <w:t xml:space="preserve">"sleeping"</w:t>
      </w:r>
      <w:r>
        <w:t xml:space="preserve">. This looks like an ATUS diary-day boundary issue — diaries run 4 a.m. to 4 a.m. —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wrapping the day at 04:00 instead of binning on the wall clock should fix it in one place.</w:t>
      </w:r>
      <w:r>
        <w:t xml:space="preserve"> </w:t>
      </w:r>
      <w:r>
        <w:t xml:space="preserve">Please check, and either fix it or state it as a limitation.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cross-check inside the package.</w:t>
      </w:r>
      <w:r>
        <w:t xml:space="preserve"> </w:t>
      </w:r>
      <w:r>
        <w:rPr>
          <w:rStyle w:val="VerbatimChar"/>
        </w:rPr>
        <w:t xml:space="preserve">time_of_day_distributions.csv</w:t>
      </w:r>
      <w:r>
        <w:t xml:space="preserve"> </w:t>
      </w:r>
      <w:r>
        <w:t xml:space="preserve">puts ~52% of O1 sleeping</w:t>
      </w:r>
      <w:r>
        <w:t xml:space="preserve"> </w:t>
      </w:r>
      <w:r>
        <w:t xml:space="preserve">time as starting between 20:00 and 23:59, while the table above gives P(sleeping) = 0.02–0.08</w:t>
      </w:r>
      <w:r>
        <w:t xml:space="preserve"> </w:t>
      </w:r>
      <w:r>
        <w:t xml:space="preserve">across those same hours. Worth reconciling the two files.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Tier 1 needs a null to be interpretable.</w:t>
      </w:r>
      <w:r>
        <w:t xml:space="preserve"> </w:t>
      </w:r>
      <w:r>
        <w:t xml:space="preserve">The scheduler draws from P and Tier 1 then compares</w:t>
      </w:r>
      <w:r>
        <w:t xml:space="preserve"> </w:t>
      </w:r>
      <w:r>
        <w:t xml:space="preserve">P against draws from P, so the reported values partly reflect sampling noise. Drawing from the</w:t>
      </w:r>
      <w:r>
        <w:t xml:space="preserve"> </w:t>
      </w:r>
      <w:r>
        <w:t xml:space="preserve">package's own tables and evaluating Eq. (1) at the same n gives 0.014–0.030 nats — the same range</w:t>
      </w:r>
      <w:r>
        <w:t xml:space="preserve"> </w:t>
      </w:r>
      <w:r>
        <w:t xml:space="preserve">as the reported 0.0092–0.0253. The fix is small:</w:t>
      </w:r>
      <w:r>
        <w:t xml:space="preserve"> </w:t>
      </w:r>
      <w:r>
        <w:rPr>
          <w:b/>
          <w:bCs/>
        </w:rPr>
        <w:t xml:space="preserve">state n per (hour, day-type) cell and report</w:t>
      </w:r>
      <w:r>
        <w:rPr>
          <w:b/>
          <w:bCs/>
        </w:rPr>
        <w:t xml:space="preserve"> </w:t>
      </w:r>
      <w:r>
        <w:rPr>
          <w:b/>
          <w:bCs/>
        </w:rPr>
        <w:t xml:space="preserve">the null alongside.</w:t>
      </w:r>
      <w:r>
        <w:t xml:space="preserve"> </w:t>
      </w:r>
      <w:r>
        <w:t xml:space="preserve">Consider renaming the tier "sampler correctness", which is what it shows,</w:t>
      </w:r>
      <w:r>
        <w:t xml:space="preserve"> </w:t>
      </w:r>
      <w:r>
        <w:t xml:space="preserve">and which is a fair thing to claim.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Please add one duration statistic.</w:t>
      </w:r>
      <w:r>
        <w:t xml:space="preserve"> </w:t>
      </w:r>
      <w:r>
        <w:rPr>
          <w:rStyle w:val="VerbatimChar"/>
        </w:rPr>
        <w:t xml:space="preserve">sample()</w:t>
      </w:r>
      <w:r>
        <w:t xml:space="preserve"> </w:t>
      </w:r>
      <w:r>
        <w:t xml:space="preserve">depends only on hour and day type, so episode</w:t>
      </w:r>
      <w:r>
        <w:t xml:space="preserve"> </w:t>
      </w:r>
      <w:r>
        <w:t xml:space="preserve">lengths are geometric by construction and per-hour marginals cannot detect it. Measured against</w:t>
      </w:r>
      <w:r>
        <w:t xml:space="preserve"> </w:t>
      </w:r>
      <w:r>
        <w:t xml:space="preserve">the durations the package itself ships in</w:t>
      </w:r>
      <w:r>
        <w:t xml:space="preserve"> </w:t>
      </w:r>
      <w:r>
        <w:rPr>
          <w:rStyle w:val="VerbatimChar"/>
        </w:rPr>
        <w:t xml:space="preserve">activity_frequency_*.csv</w:t>
      </w:r>
      <w:r>
        <w:t xml:space="preserve">: mean sleep episode 67 min</w:t>
      </w:r>
      <w:r>
        <w:t xml:space="preserve"> </w:t>
      </w:r>
      <w:r>
        <w:t xml:space="preserve">vs 338 real, work 28 vs 203, and 29–41 transitions per day.</w:t>
      </w:r>
      <w:r>
        <w:t xml:space="preserve"> </w:t>
      </w:r>
      <w:r>
        <w:rPr>
          <w:b/>
          <w:bCs/>
        </w:rPr>
        <w:t xml:space="preserve">Reporting mean episodes/day and the</w:t>
      </w:r>
      <w:r>
        <w:rPr>
          <w:b/>
          <w:bCs/>
        </w:rPr>
        <w:t xml:space="preserve"> </w:t>
      </w:r>
      <w:r>
        <w:rPr>
          <w:b/>
          <w:bCs/>
        </w:rPr>
        <w:t xml:space="preserve">episode-length distribution would close this</w:t>
      </w:r>
      <w:r>
        <w:t xml:space="preserve"> </w:t>
      </w:r>
      <w:r>
        <w:t xml:space="preserve">— both references are already in the package. If a</w:t>
      </w:r>
      <w:r>
        <w:t xml:space="preserve"> </w:t>
      </w:r>
      <w:r>
        <w:t xml:space="preserve">duration model is out of scope, that is fine, but please say so in Section 2.2.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Two citation fixes in Section 3.3.</w:t>
      </w:r>
      <w:r>
        <w:t xml:space="preserve"> </w:t>
      </w:r>
      <w:r>
        <w:t xml:space="preserve">Gyamfi &amp; Krumdieck (2011) is a stated-preference survey on</w:t>
      </w:r>
      <w:r>
        <w:t xml:space="preserve"> </w:t>
      </w:r>
      <w:r>
        <w:t xml:space="preserve">price / environment / supply security; Albadi &amp; El-Saadany (2008) is a power-systems review of</w:t>
      </w:r>
      <w:r>
        <w:t xml:space="preserve"> </w:t>
      </w:r>
      <w:r>
        <w:t xml:space="preserve">program types.</w:t>
      </w:r>
      <w:r>
        <w:t xml:space="preserve"> </w:t>
      </w:r>
      <w:r>
        <w:rPr>
          <w:b/>
          <w:bCs/>
        </w:rPr>
        <w:t xml:space="preserve">Neither contains a peer-comparison result.</w:t>
      </w:r>
      <w:r>
        <w:t xml:space="preserve"> </w:t>
      </w:r>
      <w:r>
        <w:t xml:space="preserve">The claim itself is defensible for</w:t>
      </w:r>
      <w:r>
        <w:t xml:space="preserve"> </w:t>
      </w:r>
      <w:r>
        <w:rPr>
          <w:i/>
          <w:iCs/>
        </w:rPr>
        <w:t xml:space="preserve">peak events</w:t>
      </w:r>
      <w:r>
        <w:t xml:space="preserve"> </w:t>
      </w:r>
      <w:r>
        <w:t xml:space="preserve">— Ito, Ida &amp; Tanaka (2018),</w:t>
      </w:r>
      <w:r>
        <w:t xml:space="preserve"> </w:t>
      </w:r>
      <w:r>
        <w:rPr>
          <w:i/>
          <w:iCs/>
        </w:rPr>
        <w:t xml:space="preserve">AEJ: Econ. Policy</w:t>
      </w:r>
      <w:r>
        <w:t xml:space="preserve"> </w:t>
      </w:r>
      <w:r>
        <w:t xml:space="preserve">10(1), 240–267,</w:t>
      </w:r>
      <w:r>
        <w:t xml:space="preserve"> </w:t>
      </w:r>
      <w:r>
        <w:rPr>
          <w:rStyle w:val="VerbatimChar"/>
        </w:rPr>
        <w:t xml:space="preserve">10.1257/pol.20160093</w:t>
      </w:r>
      <w:r>
        <w:t xml:space="preserve">, measured moral suasion decaying to insignificance by the third event. For</w:t>
      </w:r>
      <w:r>
        <w:t xml:space="preserve"> </w:t>
      </w:r>
      <w:r>
        <w:t xml:space="preserve">billing-cycle conservation the evidence runs the other way (Allcott 2011, ~2%). Suggest swapping</w:t>
      </w:r>
      <w:r>
        <w:t xml:space="preserve"> </w:t>
      </w:r>
      <w:r>
        <w:t xml:space="preserve">the citations and narrowing the sentence to peak events.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Please name the model version.</w:t>
      </w:r>
      <w:r>
        <w:t xml:space="preserve"> </w:t>
      </w:r>
      <w:r>
        <w:t xml:space="preserve">The paper correctly says reproducible studies should record</w:t>
      </w:r>
      <w:r>
        <w:t xml:space="preserve"> </w:t>
      </w:r>
      <w:r>
        <w:t xml:space="preserve">the provider and model version, but no version string appears for any reported result. One</w:t>
      </w:r>
      <w:r>
        <w:t xml:space="preserve"> </w:t>
      </w:r>
      <w:r>
        <w:t xml:space="preserve">sentence in Section 3.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Missing literature.</w:t>
      </w:r>
      <w:r>
        <w:t xml:space="preserve"> </w:t>
      </w:r>
      <w:r>
        <w:t xml:space="preserve">No citation to the time-use-survey occupancy modelling lineage</w:t>
      </w:r>
      <w:r>
        <w:t xml:space="preserve"> </w:t>
      </w:r>
      <w:r>
        <w:t xml:space="preserve">(Richardson 2008; Widén &amp; Wäckelgård 2010; Wilke 2013; Flett &amp; Kelly 2016; on the ATUS side Mitra</w:t>
      </w:r>
      <w:r>
        <w:t xml:space="preserve"> </w:t>
      </w:r>
      <w:r>
        <w:t xml:space="preserve">2020, Malekpour Koupaei 2022). Two reviews cover it in one citation each: Osman &amp; Ouf (2021),</w:t>
      </w:r>
      <w:r>
        <w:t xml:space="preserve"> </w:t>
      </w:r>
      <w:r>
        <w:rPr>
          <w:i/>
          <w:iCs/>
        </w:rPr>
        <w:t xml:space="preserve">Build. Environ.</w:t>
      </w:r>
      <w:r>
        <w:t xml:space="preserve"> </w:t>
      </w:r>
      <w:r>
        <w:t xml:space="preserve">196, 107785; Vosoughkhosravi et al. (2023),</w:t>
      </w:r>
      <w:r>
        <w:t xml:space="preserve"> </w:t>
      </w:r>
      <w:r>
        <w:rPr>
          <w:i/>
          <w:iCs/>
        </w:rPr>
        <w:t xml:space="preserve">Energy Build.</w:t>
      </w:r>
      <w:r>
        <w:t xml:space="preserve"> </w:t>
      </w:r>
      <w:r>
        <w:t xml:space="preserve">294, 113245. Also</w:t>
      </w:r>
      <w:r>
        <w:t xml:space="preserve"> </w:t>
      </w:r>
      <w:r>
        <w:rPr>
          <w:b/>
          <w:bCs/>
        </w:rPr>
        <w:t xml:space="preserve">Deng &amp; Peng (2026)</w:t>
      </w:r>
      <w:r>
        <w:t xml:space="preserve">,</w:t>
      </w:r>
      <w:r>
        <w:t xml:space="preserve"> </w:t>
      </w:r>
      <w:r>
        <w:rPr>
          <w:i/>
          <w:iCs/>
        </w:rPr>
        <w:t xml:space="preserve">Buildings</w:t>
      </w:r>
      <w:r>
        <w:t xml:space="preserve"> </w:t>
      </w:r>
      <w:r>
        <w:t xml:space="preserve">16(5), 887 — the closest published LLM occupant-agent work. A</w:t>
      </w:r>
      <w:r>
        <w:t xml:space="preserve"> </w:t>
      </w:r>
      <w:r>
        <w:t xml:space="preserve">first-order Markov chain on the same ATUS data would be a stronger baseline than the fixed</w:t>
      </w:r>
      <w:r>
        <w:t xml:space="preserve"> </w:t>
      </w:r>
      <w:r>
        <w:t xml:space="preserve">schedule, and would be one</w:t>
      </w:r>
      <w:r>
        <w:t xml:space="preserve"> </w:t>
      </w:r>
      <w:r>
        <w:rPr>
          <w:rStyle w:val="VerbatimChar"/>
        </w:rPr>
        <w:t xml:space="preserve">BaseScheduler</w:t>
      </w:r>
      <w:r>
        <w:t xml:space="preserve"> </w:t>
      </w:r>
      <w:r>
        <w:t xml:space="preserve">subclass — a neat demonstration of the plugin system.</w:t>
      </w:r>
      <w:r>
        <w:t xml:space="preserve"> </w:t>
      </w:r>
      <w:r>
        <w:rPr>
          <w:i/>
          <w:iCs/>
        </w:rPr>
        <w:t xml:space="preserve">(I have no connection to any of these and am not requesting citations to my own work.)</w:t>
      </w:r>
    </w:p>
    <w:bookmarkEnd w:id="9"/>
    <w:bookmarkStart w:id="10" w:name="minor"/>
    <w:p>
      <w:pPr>
        <w:pStyle w:val="Heading2"/>
      </w:pPr>
      <w:r>
        <w:t xml:space="preserve">Minor</w:t>
      </w:r>
    </w:p>
    <w:p>
      <w:pPr>
        <w:pStyle w:val="Compact"/>
        <w:numPr>
          <w:ilvl w:val="0"/>
          <w:numId w:val="1002"/>
        </w:numPr>
      </w:pPr>
      <w:r>
        <w:t xml:space="preserve">Table 2 defines O4 as "Unemployed adult —</w:t>
      </w:r>
      <w:r>
        <w:t xml:space="preserve"> </w:t>
      </w:r>
      <w:r>
        <w:rPr>
          <w:b/>
          <w:bCs/>
        </w:rPr>
        <w:t xml:space="preserve">Not employed</w:t>
      </w:r>
      <w:r>
        <w:t xml:space="preserve">, age 25–44". In ATUS these are</w:t>
      </w:r>
      <w:r>
        <w:t xml:space="preserve"> </w:t>
      </w:r>
      <w:r>
        <w:t xml:space="preserve">different filters (</w:t>
      </w:r>
      <w:r>
        <w:rPr>
          <w:rStyle w:val="VerbatimChar"/>
        </w:rPr>
        <w:t xml:space="preserve">TELFS ∈ {3,4}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{3,4,5}</w:t>
      </w:r>
      <w:r>
        <w:t xml:space="preserve">), differing by roughly an order of magnitude, and</w:t>
      </w:r>
      <w:r>
        <w:t xml:space="preserve"> </w:t>
      </w:r>
      <w:r>
        <w:t xml:space="preserve">n = 107 matches the narrower one. Worth confirming — if the intended stratum is</w:t>
      </w:r>
      <w:r>
        <w:t xml:space="preserve"> </w:t>
      </w:r>
      <w:r>
        <w:rPr>
          <w:i/>
          <w:iCs/>
        </w:rPr>
        <w:t xml:space="preserve">not employed</w:t>
      </w:r>
      <w:r>
        <w:t xml:space="preserve">,</w:t>
      </w:r>
      <w:r>
        <w:t xml:space="preserve"> </w:t>
      </w:r>
      <w:r>
        <w:t xml:space="preserve">the sample is much larger and the R1 noise caveat could be dropped.</w:t>
      </w:r>
    </w:p>
    <w:p>
      <w:pPr>
        <w:pStyle w:val="Compact"/>
        <w:numPr>
          <w:ilvl w:val="0"/>
          <w:numId w:val="1002"/>
        </w:numPr>
      </w:pPr>
      <w:r>
        <w:t xml:space="preserve">Table C.1: the caption restricts the work-location columns to employed respondents with a work</w:t>
      </w:r>
      <w:r>
        <w:t xml:space="preserve"> </w:t>
      </w:r>
      <w:r>
        <w:t xml:space="preserve">episode, but values are given for the two non-employed strata; and the columns sum to 94.5 / 58.2</w:t>
      </w:r>
      <w:r>
        <w:t xml:space="preserve"> </w:t>
      </w:r>
      <w:r>
        <w:t xml:space="preserve">/ 94.6 / 98.4 rather than 100. Publishing the exact variable filters would settle both.</w:t>
      </w:r>
    </w:p>
    <w:p>
      <w:pPr>
        <w:pStyle w:val="Compact"/>
        <w:numPr>
          <w:ilvl w:val="0"/>
          <w:numId w:val="1002"/>
        </w:numPr>
      </w:pPr>
      <w:r>
        <w:t xml:space="preserve">Table A.1 lists eight categories; Figure 3 plots five — say which and why.</w:t>
      </w:r>
    </w:p>
    <w:p>
      <w:pPr>
        <w:pStyle w:val="Compact"/>
        <w:numPr>
          <w:ilvl w:val="0"/>
          <w:numId w:val="1002"/>
        </w:numPr>
      </w:pPr>
      <w:r>
        <w:t xml:space="preserve">"Other" holds 172 of the tier-3 codes, including travel; worth one line of acknowledgement.</w:t>
      </w:r>
    </w:p>
    <w:p>
      <w:pPr>
        <w:pStyle w:val="Compact"/>
        <w:numPr>
          <w:ilvl w:val="0"/>
          <w:numId w:val="1002"/>
        </w:numPr>
      </w:pPr>
      <w:r>
        <w:t xml:space="preserve">The abstract's "16,684 respondents" — 6,041 are in the four strata; use that number.</w:t>
      </w:r>
    </w:p>
    <w:p>
      <w:pPr>
        <w:pStyle w:val="Compact"/>
        <w:numPr>
          <w:ilvl w:val="0"/>
          <w:numId w:val="1002"/>
        </w:numPr>
      </w:pPr>
      <w:r>
        <w:t xml:space="preserve">Name the ATUS weight variable used. (2022 and 2023 both use</w:t>
      </w:r>
      <w:r>
        <w:t xml:space="preserve"> </w:t>
      </w:r>
      <w:r>
        <w:rPr>
          <w:rStyle w:val="VerbatimChar"/>
        </w:rPr>
        <w:t xml:space="preserve">TUFINLWGT</w:t>
      </w:r>
      <w:r>
        <w:t xml:space="preserve">, so pooling is fine.)</w:t>
      </w:r>
    </w:p>
    <w:p>
      <w:pPr>
        <w:pStyle w:val="Compact"/>
        <w:numPr>
          <w:ilvl w:val="0"/>
          <w:numId w:val="1002"/>
        </w:numPr>
      </w:pPr>
      <w:r>
        <w:t xml:space="preserve">Section 2.7 says cost bounded the simulation length but gives no measured cost; one figure would help.</w:t>
      </w:r>
    </w:p>
    <w:p>
      <w:pPr>
        <w:pStyle w:val="Compact"/>
        <w:numPr>
          <w:ilvl w:val="0"/>
          <w:numId w:val="1002"/>
        </w:numPr>
      </w:pPr>
      <w:r>
        <w:t xml:space="preserve">Figure 3's caption contrasts "smooth transitions" with a step function; a real diary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step</w:t>
      </w:r>
      <w:r>
        <w:t xml:space="preserve"> </w:t>
      </w:r>
      <w:r>
        <w:t xml:space="preserve">function, and the smoothness comes from averaging over 180 days.</w:t>
      </w:r>
    </w:p>
    <w:p>
      <w:pPr>
        <w:pStyle w:val="Compact"/>
        <w:numPr>
          <w:ilvl w:val="0"/>
          <w:numId w:val="1002"/>
        </w:numPr>
      </w:pPr>
      <w:r>
        <w:t xml:space="preserve">The Zenodo capsule predates this revision — deposit a new version if the code changed.</w:t>
      </w:r>
    </w:p>
    <w:p>
      <w:pPr>
        <w:pStyle w:val="Compact"/>
        <w:numPr>
          <w:ilvl w:val="0"/>
          <w:numId w:val="1002"/>
        </w:numPr>
      </w:pPr>
      <w:r>
        <w:t xml:space="preserve">The typeset PDF loses inter-word spaces in places ("ATUSmicrodata") — a production issue.</w:t>
      </w:r>
    </w:p>
    <w:bookmarkEnd w:id="10"/>
    <w:bookmarkStart w:id="11" w:name="to-the-editor"/>
    <w:p>
      <w:pPr>
        <w:pStyle w:val="Heading2"/>
      </w:pPr>
      <w:r>
        <w:t xml:space="preserve">To the editor</w:t>
      </w:r>
    </w:p>
    <w:p>
      <w:pPr>
        <w:pStyle w:val="FirstParagraph"/>
      </w:pPr>
      <w:r>
        <w:t xml:space="preserve">Two short scripts reproducing every number above are attached in</w:t>
      </w:r>
      <w:r>
        <w:t xml:space="preserve"> </w:t>
      </w:r>
      <w:r>
        <w:rPr>
          <w:rStyle w:val="VerbatimChar"/>
        </w:rPr>
        <w:t xml:space="preserve">verification/</w:t>
      </w:r>
      <w:r>
        <w:t xml:space="preserve">. They need only</w:t>
      </w:r>
      <w:r>
        <w:t xml:space="preserve"> </w:t>
      </w:r>
      <w:r>
        <w:rPr>
          <w:rStyle w:val="VerbatimChar"/>
        </w:rPr>
        <w:t xml:space="preserve">pip install buildocc</w:t>
      </w:r>
      <w:r>
        <w:t xml:space="preserve">, run in about a second, and make no network or API calls. Please pass them</w:t>
      </w:r>
      <w:r>
        <w:t xml:space="preserve"> </w:t>
      </w:r>
      <w:r>
        <w:t xml:space="preserve">to the author — I would rather he check my arithmetic than take my word for it. No ethical</w:t>
      </w:r>
      <w:r>
        <w:t xml:space="preserve"> </w:t>
      </w:r>
      <w:r>
        <w:t xml:space="preserve">concerns; no conflict of interest.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2026-08-21T19:37:01Z</dcterms:created>
  <dcterms:modified xsi:type="dcterms:W3CDTF">2026-08-21T19:37:01Z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