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82.png" ContentType="image/png"/>
  <Override PartName="/word/media/rId88.png" ContentType="image/png"/>
  <Override PartName="/word/media/rId92.png" ContentType="image/png"/>
  <Override PartName="/word/media/rId98.png" ContentType="image/png"/>
  <Override PartName="/word/media/rId104.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harmonised three-country HETUS corpus (Spain, Italy, United Kingdom; one wave each; 73,254 diaries, 2,024,068 episodes) is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fails in nine of nine fold-band cells: the raked donor pool reproduces the held-out country’s time budget two to six times better than the fine-tuned model, closest miss 2.70 minutes per day, and five further transfer gates agree. Capacity is eliminated as the explanation from three independent directions: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failure into a steering component and an amplitude component: on the reported model the amplitude arm fails in all three folds, at pooled slopes of 0.40 to 0.53 against a floor of 0.80, so the response to an unseen country’s marginals is real and delivered at roughly half the required strength; the steering arm, which passes at R-squared 0.85 to 0.98, was computed on the pilot arm and not recomputed on the reported model, and is reported as inherited rather than measured.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A raked pool of real donor diaries beats a fine-tuned 7 B model in 9 of 9 pre-registered cells.</w:t>
      </w:r>
    </w:p>
    <w:p>
      <w:pPr>
        <w:pStyle w:val="Compact"/>
        <w:numPr>
          <w:ilvl w:val="0"/>
          <w:numId w:val="1001"/>
        </w:numPr>
      </w:pPr>
      <w:r>
        <w:t xml:space="preserve">Capacity is not the cause: bigger backbone, 92x trainable parameters and a second family all fail.</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md5-locked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r>
        <w:t xml:space="preserve"> </w:t>
      </w:r>
      <w:r>
        <w:t xml:space="preserve">· Caroline Hachem-Vermette</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authors gratefully acknowledge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(§5.5).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authors declare that they have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Caroline Hachem-Vermette: Conceptualization, Supervision, Funding acquisition, Resources, Writing - review and editing. Both authors read and approved the final manuscript.</w:t>
      </w:r>
    </w:p>
    <w:p>
      <w:pPr>
        <w:pStyle w:val="BodyText"/>
      </w:pPr>
      <w:r>
        <w:t xml:space="preserve">Ethical approval. This study does not contain any studies with human or animal subjects performed by any of the authors. The analysis uses anonymised time-use microdata released to accredited users by the national statistical institutes through Eurostat, together with published demographic tables.</w:t>
      </w:r>
    </w:p>
    <w:p>
      <w:pPr>
        <w:pStyle w:val="CaptionedFigure"/>
      </w:pPr>
      <w:r>
        <w:drawing>
          <wp:inline>
            <wp:extent cx="4208074" cy="2348692"/>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We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§6.1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spacing w:after="0" w:line="240" w:lineRule="auto"/>
              <w:pStyle w:val="Compact"/>
            </w:pPr>
            <w:r>
              <w:rPr>
                <w:sz w:val="20"/>
                <w:szCs w:val="20"/>
              </w:rPr>
              <w:t xml:space="preserve">Study</w:t>
            </w:r>
          </w:p>
        </w:tc>
        <w:tc>
          <w:tcPr/>
          <w:p>
            <w:pPr>
              <w:spacing w:after="0" w:line="240" w:lineRule="auto"/>
              <w:pStyle w:val="Compact"/>
              <w:jc w:val="center"/>
            </w:pPr>
            <w:r>
              <w:rPr>
                <w:sz w:val="20"/>
                <w:szCs w:val="20"/>
              </w:rPr>
              <w:t xml:space="preserve">Survey-driven</w:t>
            </w:r>
          </w:p>
        </w:tc>
        <w:tc>
          <w:tcPr/>
          <w:p>
            <w:pPr>
              <w:spacing w:after="0" w:line="240" w:lineRule="auto"/>
              <w:pStyle w:val="Compact"/>
              <w:jc w:val="center"/>
            </w:pPr>
            <w:r>
              <w:rPr>
                <w:sz w:val="20"/>
                <w:szCs w:val="20"/>
              </w:rPr>
              <w:t xml:space="preserve">Generative model</w:t>
            </w:r>
          </w:p>
        </w:tc>
        <w:tc>
          <w:tcPr/>
          <w:p>
            <w:pPr>
              <w:spacing w:after="0" w:line="240" w:lineRule="auto"/>
              <w:pStyle w:val="Compact"/>
              <w:jc w:val="center"/>
            </w:pPr>
            <w:r>
              <w:rPr>
                <w:sz w:val="20"/>
                <w:szCs w:val="20"/>
              </w:rPr>
              <w:t xml:space="preserve">Cross-population transfer tested</w:t>
            </w:r>
          </w:p>
        </w:tc>
        <w:tc>
          <w:tcPr/>
          <w:p>
            <w:pPr>
              <w:spacing w:after="0" w:line="240" w:lineRule="auto"/>
              <w:pStyle w:val="Compact"/>
              <w:jc w:val="center"/>
            </w:pPr>
            <w:r>
              <w:rPr>
                <w:sz w:val="20"/>
                <w:szCs w:val="20"/>
              </w:rPr>
              <w:t xml:space="preserve">Hard donor-based null</w:t>
            </w:r>
          </w:p>
        </w:tc>
        <w:tc>
          <w:tcPr/>
          <w:p>
            <w:pPr>
              <w:spacing w:after="0" w:line="240" w:lineRule="auto"/>
              <w:pStyle w:val="Compact"/>
              <w:jc w:val="center"/>
            </w:pPr>
            <w:r>
              <w:rPr>
                <w:sz w:val="20"/>
                <w:szCs w:val="20"/>
              </w:rPr>
              <w:t xml:space="preserve">Pre-registered bar</w:t>
            </w:r>
          </w:p>
        </w:tc>
        <w:tc>
          <w:tcPr/>
          <w:p>
            <w:pPr>
              <w:spacing w:after="0" w:line="240" w:lineRule="auto"/>
              <w:pStyle w:val="Compact"/>
              <w:jc w:val="center"/>
            </w:pPr>
            <w:r>
              <w:rPr>
                <w:sz w:val="20"/>
                <w:szCs w:val="20"/>
              </w:rPr>
              <w:t xml:space="preserve">Activity/end-use resolved</w:t>
            </w:r>
          </w:p>
        </w:tc>
        <w:tc>
          <w:tcPr/>
          <w:p>
            <w:pPr>
              <w:spacing w:after="0" w:line="240" w:lineRule="auto"/>
              <w:pStyle w:val="Compact"/>
              <w:jc w:val="center"/>
            </w:pPr>
            <w:r>
              <w:rPr>
                <w:sz w:val="20"/>
                <w:szCs w:val="20"/>
              </w:rPr>
              <w:t xml:space="preserve">Stock-scale simulation</w:t>
            </w:r>
          </w:p>
        </w:tc>
      </w:tr>
      <w:tr>
        <w:tc>
          <w:tcPr/>
          <w:p>
            <w:pPr>
              <w:spacing w:after="0" w:line="240" w:lineRule="auto"/>
              <w:pStyle w:val="Compact"/>
            </w:pPr>
            <w:r>
              <w:rPr>
                <w:sz w:val="20"/>
                <w:szCs w:val="20"/>
              </w:rPr>
              <w:t xml:space="preserve">Richardson et al. (2008)</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(Markov)</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Widén and Wäckelgård (2010)</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(Markov)</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Osman and Ouf (2021), review</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Vosoughkhosravi et al. (2023), review</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Authors’ prior line (single country)</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This study</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(fine-tuned LLM)</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We report a case from our own pipeline: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md5-locked before the first training submission, two gates verify that lock at every closure, and the bar it names is the one reported in §5.1. Bands were not moved after the result was seen, no metric was substituted, and the failing comparison is reported at the strength at which it failed. The design is falsifiable in one sentence, which was the reason for adopting it: if a fine-tuned language model cannot reproduce a held-out country better than a demographically raked pool of real European donor diaries, the transfer claim fails.</w:t>
      </w:r>
    </w:p>
    <w:p>
      <w:pPr>
        <w:pStyle w:val="BodyText"/>
      </w:pPr>
      <w:r>
        <w:t xml:space="preserve">It failed.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activity band of every fold, by factors of two to six, and by five further pre-registered transfer gates. The failure is uniform rather than marginal, and it is not a capacity failure: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fails in all three folds at a slope near one half, so the model is not ignoring its conditioning but under-responding to it. The steering arm passes, and it was measured on the pilot arm rather than recomputed on the reported model, which §5.4 states and §7.10 lists among the unfinished items. Separating the two failure modes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seen failing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failure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CaptionedFigure"/>
      </w:pPr>
      <w:r>
        <w:drawing>
          <wp:inline>
            <wp:extent cx="2740141" cy="3669832"/>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2740141" cy="3669832"/>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 Pipeline, Steps 0 to 11.</w:t>
      </w:r>
    </w:p>
    <w:p>
      <w:pPr>
        <w:pStyle w:val="CaptionedFigure"/>
      </w:pPr>
      <w:r>
        <w:drawing>
          <wp:inline>
            <wp:extent cx="4208074" cy="2348692"/>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 Leave-one-country-out design and the two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p>
        </w:tc>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United Kingdom</w:t>
            </w:r>
          </w:p>
        </w:tc>
        <w:tc>
          <w:tcPr/>
          <w:p>
            <w:pPr>
              <w:spacing w:after="0" w:line="240" w:lineRule="auto"/>
              <w:pStyle w:val="Compact"/>
            </w:pPr>
            <w:r>
              <w:rPr>
                <w:sz w:val="20"/>
                <w:szCs w:val="20"/>
              </w:rPr>
              <w:t xml:space="preserve">Italy</w:t>
            </w:r>
          </w:p>
        </w:tc>
      </w:tr>
      <w:tr>
        <w:tc>
          <w:tcPr/>
          <w:p>
            <w:pPr>
              <w:spacing w:after="0" w:line="240" w:lineRule="auto"/>
              <w:pStyle w:val="Compact"/>
            </w:pPr>
            <w:r>
              <w:rPr>
                <w:sz w:val="20"/>
                <w:szCs w:val="20"/>
              </w:rPr>
              <w:t xml:space="preserve">Instrument</w:t>
            </w:r>
          </w:p>
        </w:tc>
        <w:tc>
          <w:tcPr/>
          <w:p>
            <w:pPr>
              <w:spacing w:after="0" w:line="240" w:lineRule="auto"/>
              <w:pStyle w:val="Compact"/>
            </w:pPr>
            <w:r>
              <w:rPr>
                <w:sz w:val="20"/>
                <w:szCs w:val="20"/>
              </w:rPr>
              <w:t xml:space="preserve">INE</w:t>
            </w:r>
            <w:r>
              <w:rPr>
                <w:sz w:val="20"/>
                <w:szCs w:val="20"/>
              </w:rPr>
              <w:t xml:space="preserve"> </w:t>
            </w:r>
            <w:r>
              <w:rPr>
                <w:sz w:val="20"/>
                <w:szCs w:val="20"/>
                <w:i/>
                <w:iCs/>
              </w:rPr>
              <w:t xml:space="preserve">Encuesta de Empleo del Tiempo</w:t>
            </w:r>
          </w:p>
        </w:tc>
        <w:tc>
          <w:tcPr/>
          <w:p>
            <w:pPr>
              <w:spacing w:after="0" w:line="240" w:lineRule="auto"/>
              <w:pStyle w:val="Compact"/>
            </w:pPr>
            <w:r>
              <w:rPr>
                <w:sz w:val="20"/>
                <w:szCs w:val="20"/>
              </w:rPr>
              <w:t xml:space="preserve">UKTUS, UK Data Service SN 8128</w:t>
            </w:r>
          </w:p>
        </w:tc>
        <w:tc>
          <w:tcPr/>
          <w:p>
            <w:pPr>
              <w:spacing w:after="0" w:line="240" w:lineRule="auto"/>
              <w:pStyle w:val="Compact"/>
            </w:pPr>
            <w:r>
              <w:rPr>
                <w:sz w:val="20"/>
                <w:szCs w:val="20"/>
              </w:rPr>
              <w:t xml:space="preserve">ISTAT</w:t>
            </w:r>
            <w:r>
              <w:rPr>
                <w:sz w:val="20"/>
                <w:szCs w:val="20"/>
              </w:rPr>
              <w:t xml:space="preserve"> </w:t>
            </w:r>
            <w:r>
              <w:rPr>
                <w:sz w:val="20"/>
                <w:szCs w:val="20"/>
                <w:i/>
                <w:iCs/>
              </w:rPr>
              <w:t xml:space="preserve">Uso del Tempo</w:t>
            </w:r>
          </w:p>
        </w:tc>
      </w:tr>
      <w:tr>
        <w:tc>
          <w:tcPr/>
          <w:p>
            <w:pPr>
              <w:spacing w:after="0" w:line="240" w:lineRule="auto"/>
              <w:pStyle w:val="Compact"/>
            </w:pPr>
            <w:r>
              <w:rPr>
                <w:sz w:val="20"/>
                <w:szCs w:val="20"/>
              </w:rPr>
              <w:t xml:space="preserve">Wave</w:t>
            </w:r>
          </w:p>
        </w:tc>
        <w:tc>
          <w:tcPr/>
          <w:p>
            <w:pPr>
              <w:spacing w:after="0" w:line="240" w:lineRule="auto"/>
              <w:pStyle w:val="Compact"/>
            </w:pPr>
            <w:r>
              <w:rPr>
                <w:sz w:val="20"/>
                <w:szCs w:val="20"/>
              </w:rPr>
              <w:t xml:space="preserve">2009-10</w:t>
            </w:r>
          </w:p>
        </w:tc>
        <w:tc>
          <w:tcPr/>
          <w:p>
            <w:pPr>
              <w:spacing w:after="0" w:line="240" w:lineRule="auto"/>
              <w:pStyle w:val="Compact"/>
            </w:pPr>
            <w:r>
              <w:rPr>
                <w:sz w:val="20"/>
                <w:szCs w:val="20"/>
              </w:rPr>
              <w:t xml:space="preserve">2014-15</w:t>
            </w:r>
          </w:p>
        </w:tc>
        <w:tc>
          <w:tcPr/>
          <w:p>
            <w:pPr>
              <w:spacing w:after="0" w:line="240" w:lineRule="auto"/>
              <w:pStyle w:val="Compact"/>
            </w:pPr>
            <w:r>
              <w:rPr>
                <w:sz w:val="20"/>
                <w:szCs w:val="20"/>
              </w:rPr>
              <w:t xml:space="preserve">2013-14</w:t>
            </w:r>
          </w:p>
        </w:tc>
      </w:tr>
      <w:tr>
        <w:tc>
          <w:tcPr/>
          <w:p>
            <w:pPr>
              <w:spacing w:after="0" w:line="240" w:lineRule="auto"/>
              <w:pStyle w:val="Compact"/>
            </w:pPr>
            <w:r>
              <w:rPr>
                <w:sz w:val="20"/>
                <w:szCs w:val="20"/>
              </w:rPr>
              <w:t xml:space="preserve">Delivered form</w:t>
            </w:r>
          </w:p>
        </w:tc>
        <w:tc>
          <w:tcPr/>
          <w:p>
            <w:pPr>
              <w:spacing w:after="0" w:line="240" w:lineRule="auto"/>
              <w:pStyle w:val="Compact"/>
            </w:pPr>
            <w:r>
              <w:rPr>
                <w:sz w:val="20"/>
                <w:szCs w:val="20"/>
              </w:rPr>
              <w:t xml:space="preserve">144 fixed 10-minute slots</w:t>
            </w:r>
          </w:p>
        </w:tc>
        <w:tc>
          <w:tcPr/>
          <w:p>
            <w:pPr>
              <w:spacing w:after="0" w:line="240" w:lineRule="auto"/>
              <w:pStyle w:val="Compact"/>
            </w:pPr>
            <w:r>
              <w:rPr>
                <w:sz w:val="20"/>
                <w:szCs w:val="20"/>
              </w:rPr>
              <w:t xml:space="preserve">native episodes</w:t>
            </w:r>
          </w:p>
        </w:tc>
        <w:tc>
          <w:tcPr/>
          <w:p>
            <w:pPr>
              <w:spacing w:after="0" w:line="240" w:lineRule="auto"/>
              <w:pStyle w:val="Compact"/>
            </w:pPr>
            <w:r>
              <w:rPr>
                <w:sz w:val="20"/>
                <w:szCs w:val="20"/>
              </w:rPr>
              <w:t xml:space="preserve">native episodes, explicit clock times</w:t>
            </w:r>
          </w:p>
        </w:tc>
      </w:tr>
      <w:tr>
        <w:tc>
          <w:tcPr/>
          <w:p>
            <w:pPr>
              <w:spacing w:after="0" w:line="240" w:lineRule="auto"/>
              <w:pStyle w:val="Compact"/>
            </w:pPr>
            <w:r>
              <w:rPr>
                <w:sz w:val="20"/>
                <w:szCs w:val="20"/>
              </w:rPr>
              <w:t xml:space="preserve">Diaries</w:t>
            </w:r>
          </w:p>
        </w:tc>
        <w:tc>
          <w:tcPr/>
          <w:p>
            <w:pPr>
              <w:spacing w:after="0" w:line="240" w:lineRule="auto"/>
              <w:pStyle w:val="Compact"/>
            </w:pPr>
            <w:r>
              <w:rPr>
                <w:sz w:val="20"/>
                <w:szCs w:val="20"/>
              </w:rPr>
              <w:t xml:space="preserve">19,295</w:t>
            </w:r>
          </w:p>
        </w:tc>
        <w:tc>
          <w:tcPr/>
          <w:p>
            <w:pPr>
              <w:spacing w:after="0" w:line="240" w:lineRule="auto"/>
              <w:pStyle w:val="Compact"/>
            </w:pPr>
            <w:r>
              <w:rPr>
                <w:sz w:val="20"/>
                <w:szCs w:val="20"/>
              </w:rPr>
              <w:t xml:space="preserve">16,533</w:t>
            </w:r>
          </w:p>
        </w:tc>
        <w:tc>
          <w:tcPr/>
          <w:p>
            <w:pPr>
              <w:spacing w:after="0" w:line="240" w:lineRule="auto"/>
              <w:pStyle w:val="Compact"/>
            </w:pPr>
            <w:r>
              <w:rPr>
                <w:sz w:val="20"/>
                <w:szCs w:val="20"/>
              </w:rPr>
              <w:t xml:space="preserve">41,229</w:t>
            </w:r>
          </w:p>
        </w:tc>
      </w:tr>
      <w:tr>
        <w:tc>
          <w:tcPr/>
          <w:p>
            <w:pPr>
              <w:spacing w:after="0" w:line="240" w:lineRule="auto"/>
              <w:pStyle w:val="Compact"/>
            </w:pPr>
            <w:r>
              <w:rPr>
                <w:sz w:val="20"/>
                <w:szCs w:val="20"/>
              </w:rPr>
              <w:t xml:space="preserve">Episodes as delivered</w:t>
            </w:r>
          </w:p>
        </w:tc>
        <w:tc>
          <w:tcPr/>
          <w:p>
            <w:pPr>
              <w:spacing w:after="0" w:line="240" w:lineRule="auto"/>
              <w:pStyle w:val="Compact"/>
            </w:pPr>
            <w:r>
              <w:rPr>
                <w:sz w:val="20"/>
                <w:szCs w:val="20"/>
              </w:rPr>
              <w:t xml:space="preserve">430,754</w:t>
            </w:r>
          </w:p>
        </w:tc>
        <w:tc>
          <w:tcPr/>
          <w:p>
            <w:pPr>
              <w:spacing w:after="0" w:line="240" w:lineRule="auto"/>
              <w:pStyle w:val="Compact"/>
            </w:pPr>
            <w:r>
              <w:rPr>
                <w:sz w:val="20"/>
                <w:szCs w:val="20"/>
              </w:rPr>
              <w:t xml:space="preserve">587,632</w:t>
            </w:r>
          </w:p>
        </w:tc>
        <w:tc>
          <w:tcPr/>
          <w:p>
            <w:pPr>
              <w:spacing w:after="0" w:line="240" w:lineRule="auto"/>
              <w:pStyle w:val="Compact"/>
            </w:pPr>
            <w:r>
              <w:rPr>
                <w:sz w:val="20"/>
                <w:szCs w:val="20"/>
              </w:rPr>
              <w:t xml:space="preserve">1,077,657</w:t>
            </w:r>
          </w:p>
        </w:tc>
      </w:tr>
      <w:tr>
        <w:tc>
          <w:tcPr/>
          <w:p>
            <w:pPr>
              <w:spacing w:after="0" w:line="240" w:lineRule="auto"/>
              <w:pStyle w:val="Compact"/>
            </w:pPr>
            <w:r>
              <w:rPr>
                <w:sz w:val="20"/>
                <w:szCs w:val="20"/>
              </w:rPr>
              <w:t xml:space="preserve">Diary days per respondent</w:t>
            </w:r>
          </w:p>
        </w:tc>
        <w:tc>
          <w:tcPr/>
          <w:p>
            <w:pPr>
              <w:spacing w:after="0" w:line="240" w:lineRule="auto"/>
              <w:pStyle w:val="Compact"/>
            </w:pPr>
            <w:r>
              <w:rPr>
                <w:sz w:val="20"/>
                <w:szCs w:val="20"/>
              </w:rPr>
              <w:t xml:space="preserve">1</w:t>
            </w:r>
          </w:p>
        </w:tc>
        <w:tc>
          <w:tcPr/>
          <w:p>
            <w:pPr>
              <w:spacing w:after="0" w:line="240" w:lineRule="auto"/>
              <w:pStyle w:val="Compact"/>
            </w:pPr>
            <w:r>
              <w:rPr>
                <w:sz w:val="20"/>
                <w:szCs w:val="20"/>
              </w:rPr>
              <w:t xml:space="preserve">up to 2 (8,259 of 8,274 gave both)</w:t>
            </w:r>
          </w:p>
        </w:tc>
        <w:tc>
          <w:tcPr/>
          <w:p>
            <w:pPr>
              <w:spacing w:after="0" w:line="240" w:lineRule="auto"/>
              <w:pStyle w:val="Compact"/>
            </w:pPr>
            <w:r>
              <w:rPr>
                <w:sz w:val="20"/>
                <w:szCs w:val="20"/>
              </w:rPr>
              <w:t xml:space="preserve">1</w:t>
            </w:r>
          </w:p>
        </w:tc>
      </w:tr>
      <w:tr>
        <w:tc>
          <w:tcPr/>
          <w:p>
            <w:pPr>
              <w:spacing w:after="0" w:line="240" w:lineRule="auto"/>
              <w:pStyle w:val="Compact"/>
            </w:pPr>
            <w:r>
              <w:rPr>
                <w:sz w:val="20"/>
                <w:szCs w:val="20"/>
              </w:rPr>
              <w:t xml:space="preserve">Minimum age</w:t>
            </w:r>
          </w:p>
        </w:tc>
        <w:tc>
          <w:tcPr/>
          <w:p>
            <w:pPr>
              <w:spacing w:after="0" w:line="240" w:lineRule="auto"/>
              <w:pStyle w:val="Compact"/>
            </w:pPr>
            <w:r>
              <w:rPr>
                <w:sz w:val="20"/>
                <w:szCs w:val="20"/>
              </w:rPr>
              <w:t xml:space="preserve">10</w:t>
            </w:r>
          </w:p>
        </w:tc>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3 (proxy for 3 to 10)</w:t>
            </w:r>
          </w:p>
        </w:tc>
      </w:tr>
      <w:tr>
        <w:tc>
          <w:tcPr/>
          <w:p>
            <w:pPr>
              <w:spacing w:after="0" w:line="240" w:lineRule="auto"/>
              <w:pStyle w:val="Compact"/>
            </w:pPr>
            <w:r>
              <w:rPr>
                <w:sz w:val="20"/>
                <w:szCs w:val="20"/>
              </w:rPr>
              <w:t xml:space="preserve">Diary weight</w:t>
            </w:r>
          </w:p>
        </w:tc>
        <w:tc>
          <w:tcPr/>
          <w:p>
            <w:pPr>
              <w:spacing w:after="0" w:line="240" w:lineRule="auto"/>
              <w:pStyle w:val="Compact"/>
            </w:pPr>
            <w:r>
              <w:rPr>
                <w:sz w:val="20"/>
                <w:szCs w:val="20"/>
                <w:rStyle w:val="VerbatimChar"/>
              </w:rPr>
              <w:t xml:space="preserve">FACTORF</w:t>
            </w:r>
          </w:p>
        </w:tc>
        <w:tc>
          <w:tcPr/>
          <w:p>
            <w:pPr>
              <w:spacing w:after="0" w:line="240" w:lineRule="auto"/>
              <w:pStyle w:val="Compact"/>
            </w:pPr>
            <w:r>
              <w:rPr>
                <w:sz w:val="20"/>
                <w:szCs w:val="20"/>
                <w:rStyle w:val="VerbatimChar"/>
              </w:rPr>
              <w:t xml:space="preserve">dia_wt_a</w:t>
            </w:r>
          </w:p>
        </w:tc>
        <w:tc>
          <w:tcPr/>
          <w:p>
            <w:pPr>
              <w:spacing w:after="0" w:line="240" w:lineRule="auto"/>
              <w:pStyle w:val="Compact"/>
            </w:pPr>
            <w:r>
              <w:rPr>
                <w:sz w:val="20"/>
                <w:szCs w:val="20"/>
                <w:rStyle w:val="VerbatimChar"/>
              </w:rPr>
              <w:t xml:space="preserve">coefi2</w:t>
            </w:r>
          </w:p>
        </w:tc>
      </w:tr>
      <w:tr>
        <w:tc>
          <w:tcPr/>
          <w:p>
            <w:pPr>
              <w:spacing w:after="0" w:line="240" w:lineRule="auto"/>
              <w:pStyle w:val="Compact"/>
            </w:pPr>
            <w:r>
              <w:rPr>
                <w:sz w:val="20"/>
                <w:szCs w:val="20"/>
              </w:rPr>
              <w:t xml:space="preserve">Weight convention</w:t>
            </w:r>
          </w:p>
        </w:tc>
        <w:tc>
          <w:tcPr/>
          <w:p>
            <w:pPr>
              <w:spacing w:after="0" w:line="240" w:lineRule="auto"/>
              <w:pStyle w:val="Compact"/>
            </w:pPr>
            <w:r>
              <w:rPr>
                <w:sz w:val="20"/>
                <w:szCs w:val="20"/>
              </w:rPr>
              <w:t xml:space="preserve">expansion</w:t>
            </w:r>
          </w:p>
        </w:tc>
        <w:tc>
          <w:tcPr/>
          <w:p>
            <w:pPr>
              <w:spacing w:after="0" w:line="240" w:lineRule="auto"/>
              <w:pStyle w:val="Compact"/>
            </w:pPr>
            <w:r>
              <w:rPr>
                <w:sz w:val="20"/>
                <w:szCs w:val="20"/>
              </w:rPr>
              <w:t xml:space="preserve">normalised, mean 1.000</w:t>
            </w:r>
          </w:p>
        </w:tc>
        <w:tc>
          <w:tcPr/>
          <w:p>
            <w:pPr>
              <w:spacing w:after="0" w:line="240" w:lineRule="auto"/>
              <w:pStyle w:val="Compact"/>
            </w:pPr>
            <w:r>
              <w:rPr>
                <w:sz w:val="20"/>
                <w:szCs w:val="20"/>
              </w:rPr>
              <w:t xml:space="preserve">expansion</w:t>
            </w:r>
          </w:p>
        </w:tc>
      </w:tr>
      <w:tr>
        <w:tc>
          <w:tcPr/>
          <w:p>
            <w:pPr>
              <w:spacing w:after="0" w:line="240" w:lineRule="auto"/>
              <w:pStyle w:val="Compact"/>
            </w:pPr>
            <w:r>
              <w:rPr>
                <w:sz w:val="20"/>
                <w:szCs w:val="20"/>
              </w:rPr>
              <w:t xml:space="preserve">Calibration target</w:t>
            </w:r>
          </w:p>
        </w:tc>
        <w:tc>
          <w:tcPr/>
          <w:p>
            <w:pPr>
              <w:spacing w:after="0" w:line="240" w:lineRule="auto"/>
              <w:pStyle w:val="Compact"/>
            </w:pPr>
            <w:r>
              <w:rPr>
                <w:sz w:val="20"/>
                <w:szCs w:val="20"/>
              </w:rPr>
              <w:t xml:space="preserve">INE age-by-sex projection, by autonomous community</w:t>
            </w:r>
          </w:p>
        </w:tc>
        <w:tc>
          <w:tcPr/>
          <w:p>
            <w:pPr>
              <w:spacing w:after="0" w:line="240" w:lineRule="auto"/>
              <w:pStyle w:val="Compact"/>
            </w:pPr>
            <w:r>
              <w:rPr>
                <w:sz w:val="20"/>
                <w:szCs w:val="20"/>
              </w:rPr>
              <w:t xml:space="preserve">2014 mid-year estimates, age and sex margins</w:t>
            </w:r>
          </w:p>
        </w:tc>
        <w:tc>
          <w:tcPr/>
          <w:p>
            <w:pPr>
              <w:spacing w:after="0" w:line="240" w:lineRule="auto"/>
              <w:pStyle w:val="Compact"/>
            </w:pPr>
            <w:r>
              <w:rPr>
                <w:sz w:val="20"/>
                <w:szCs w:val="20"/>
              </w:rPr>
              <w:t xml:space="preserve">ISTAT sex by nine age classes, regional totals</w:t>
            </w:r>
          </w:p>
        </w:tc>
      </w:tr>
      <w:tr>
        <w:tc>
          <w:tcPr/>
          <w:p>
            <w:pPr>
              <w:spacing w:after="0" w:line="240" w:lineRule="auto"/>
              <w:pStyle w:val="Compact"/>
            </w:pPr>
            <w:r>
              <w:rPr>
                <w:sz w:val="20"/>
                <w:szCs w:val="20"/>
              </w:rPr>
              <w:t xml:space="preserve">Access</w:t>
            </w:r>
          </w:p>
        </w:tc>
        <w:tc>
          <w:tcPr/>
          <w:p>
            <w:pPr>
              <w:spacing w:after="0" w:line="240" w:lineRule="auto"/>
              <w:pStyle w:val="Compact"/>
            </w:pPr>
            <w:r>
              <w:rPr>
                <w:sz w:val="20"/>
                <w:szCs w:val="20"/>
              </w:rPr>
              <w:t xml:space="preserve">open download, no credential</w:t>
            </w:r>
          </w:p>
        </w:tc>
        <w:tc>
          <w:tcPr/>
          <w:p>
            <w:pPr>
              <w:spacing w:after="0" w:line="240" w:lineRule="auto"/>
              <w:pStyle w:val="Compact"/>
            </w:pPr>
            <w:r>
              <w:rPr>
                <w:sz w:val="20"/>
                <w:szCs w:val="20"/>
              </w:rPr>
              <w:t xml:space="preserve">End User Licence, free registration</w:t>
            </w:r>
          </w:p>
        </w:tc>
        <w:tc>
          <w:tcPr/>
          <w:p>
            <w:pPr>
              <w:spacing w:after="0" w:line="240" w:lineRule="auto"/>
              <w:pStyle w:val="Compact"/>
            </w:pPr>
            <w:r>
              <w:rPr>
                <w:sz w:val="20"/>
                <w:szCs w:val="20"/>
              </w:rP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and in one case sits below the HETUS recommendation.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§5.2 reports the size of that correction rather than</w:t>
      </w:r>
      <w:r>
        <w:t xml:space="preserve"> </w:t>
      </w:r>
      <w:r>
        <w:t xml:space="preserve">only its existence. Whether the HETUS framework itself requires a particular day allocation is not</w:t>
      </w:r>
      <w:r>
        <w:t xml:space="preserve"> </w:t>
      </w:r>
      <w:r>
        <w:t xml:space="preserve">asserted here; the guidelines have not been read directly on that question, and the claim made is only</w:t>
      </w:r>
      <w:r>
        <w:t xml:space="preserve"> </w:t>
      </w:r>
      <w:r>
        <w:t xml:space="preserve">about what these three files do, which is measured.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 no</w:t>
      </w:r>
      <w:r>
        <w:t xml:space="preserve"> </w:t>
      </w:r>
      <w:r>
        <w:t xml:space="preserve">per-file source URL anywhere, so its acquisition manifest records the field as not found rather than</w:t>
      </w:r>
      <w:r>
        <w:t xml:space="preserve"> </w:t>
      </w:r>
      <w:r>
        <w:t xml:space="preserve">inventing one. Both were registered as failing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Eurostat dissemination tables covering age, self-declared economic status, household</w:t>
      </w:r>
      <w:r>
        <w:t xml:space="preserve"> </w:t>
      </w:r>
      <w:r>
        <w:t xml:space="preserve">composition, and start-time distribution.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activity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 Thresholds</w:t>
      </w:r>
      <w:r>
        <w:t xml:space="preserve"> </w:t>
      </w:r>
      <w:r>
        <w:t xml:space="preserve">are not restated in prose; the complete gate set, with each band’s provenance marked as published,</w:t>
      </w:r>
      <w:r>
        <w:t xml:space="preserve"> </w:t>
      </w:r>
      <w:r>
        <w:t xml:space="preserve">project-chosen or heuristic, is given in Table 4. Two conventions apply throughout and are stated once.</w:t>
      </w:r>
      <w:r>
        <w:t xml:space="preserve"> </w:t>
      </w:r>
      <w:r>
        <w:t xml:space="preserve">No band was moved after a result was seen. And every gate reported as passing was first made to fail</w:t>
      </w:r>
      <w:r>
        <w:t xml:space="preserve"> </w:t>
      </w:r>
      <w:r>
        <w:t xml:space="preserve">under a deliberately injected fault; where that demonstration could not be produced, the gate is reported</w:t>
      </w:r>
      <w:r>
        <w:t xml:space="preserve"> </w:t>
      </w:r>
      <w:r>
        <w:t xml:space="preserve">as not demonstrated rather than 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Of eighteen registered checks, seventeen were</w:t>
      </w:r>
      <w:r>
        <w:t xml:space="preserve"> </w:t>
      </w:r>
      <w:r>
        <w:t xml:space="preserve">scored and sixteen passed. The one failure is reported rather than repaired, and its diagnosis is</w:t>
      </w:r>
      <w:r>
        <w:t xml:space="preserve"> </w:t>
      </w:r>
      <w:r>
        <w:t xml:space="preserve">instructive enough to state: the failing clause escalates when one country’s prevalence exceeds another’s</w:t>
      </w:r>
      <w:r>
        <w:t xml:space="preserve"> </w:t>
      </w:r>
      <w:r>
        <w:t xml:space="preserve">by a factor of ten, and it fires unconditionally whenever the comparison country’s share is exactly zero,</w:t>
      </w:r>
      <w:r>
        <w:t xml:space="preserve"> </w:t>
      </w:r>
      <w:r>
        <w:t xml:space="preserve">because any positive number exceeds ten times zero. The check was wrong, not the data. One further check</w:t>
      </w:r>
      <w:r>
        <w:t xml:space="preserve"> </w:t>
      </w:r>
      <w:r>
        <w:t xml:space="preserve">is reported as not performed rather than as passed, because no published national table is held by the</w:t>
      </w:r>
      <w:r>
        <w:t xml:space="preserve"> </w:t>
      </w:r>
      <w:r>
        <w:t xml:space="preserve">project and a re-tabulation of the project’s own harmonised data would share an ancestor with the</w:t>
      </w:r>
      <w:r>
        <w:t xml:space="preserve"> </w:t>
      </w:r>
      <w:r>
        <w:t xml:space="preserve">reference and could not fail.</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2,048-token training window, so no record is truncated and the</w:t>
      </w:r>
      <w:r>
        <w:t xml:space="preserve"> </w:t>
      </w:r>
      <w:r>
        <w:t xml:space="preserve">measured truncation rate is zero.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failure is a ruling rather than a defect: 551 British diaries carry a household type</w:t>
      </w:r>
      <w:r>
        <w:t xml:space="preserve"> </w:t>
      </w:r>
      <w:r>
        <w:t xml:space="preserve">recorded as unknown, no row is imputed and no row is dropped, and the check is left standing and failing</w:t>
      </w:r>
      <w:r>
        <w:t xml:space="preserve"> </w:t>
      </w:r>
      <w:r>
        <w:t xml:space="preserve">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w:t>
      </w:r>
      <w:r>
        <w:t xml:space="preserve"> </w:t>
      </w:r>
      <w:r>
        <w:t xml:space="preserve">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 and</w:t>
      </w:r>
      <w:r>
        <w:t xml:space="preserve"> </w:t>
      </w:r>
      <w:r>
        <w:t xml:space="preserve">1.20 for Italy, with nucleus sampling disabled. Of 36 gate-fold verdicts at this stage, 34 pass. The two</w:t>
      </w:r>
      <w:r>
        <w:t xml:space="preserve"> </w:t>
      </w:r>
      <w:r>
        <w:t xml:space="preserve">failures are both the temperature-calibration sensitivity check, on the Spanish and British folds: the</w:t>
      </w:r>
      <w:r>
        <w:t xml:space="preserve"> </w:t>
      </w:r>
      <w:r>
        <w:t xml:space="preserve">check requires that the entropy step distinguishing the chosen temperature exceed the seed-to-seed re-run</w:t>
      </w:r>
      <w:r>
        <w:t xml:space="preserve"> </w:t>
      </w:r>
      <w:r>
        <w:t xml:space="preserve">noise, and on those two folds it does not, decisively on one and by less than one per cent on the other.</w:t>
      </w:r>
      <w:r>
        <w:t xml:space="preserve"> </w:t>
      </w:r>
      <w:r>
        <w:t xml:space="preserve">The check stands as written and its failure is the terminal verdict; no temperature was re-tuned and no</w:t>
      </w:r>
      <w:r>
        <w:t xml:space="preserve"> </w:t>
      </w:r>
      <w:r>
        <w:t xml:space="preserve">re-run was performed. This stage is therefore never to be written as complete: it closes at four of five</w:t>
      </w:r>
      <w:r>
        <w:t xml:space="preserve"> </w:t>
      </w:r>
      <w:r>
        <w:t xml:space="preserve">definition-of-done items with the fifth taken as a declared exception, and the board is never to be</w:t>
      </w:r>
      <w:r>
        <w:t xml:space="preserve"> </w:t>
      </w:r>
      <w:r>
        <w:t xml:space="preserve">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 iterative</w:t>
      </w:r>
      <w:r>
        <w:t xml:space="preserve"> </w:t>
      </w:r>
      <w:r>
        <w:t xml:space="preserve">proportional fitting onto the held-out country’s own published marginals: the same tables, the same</w:t>
      </w:r>
      <w:r>
        <w:t xml:space="preserve"> </w:t>
      </w:r>
      <w:r>
        <w:t xml:space="preserve">geography and the same strata the model was given. Every day in the pool is an authentic human day, with</w:t>
      </w:r>
      <w:r>
        <w:t xml:space="preserve"> </w:t>
      </w:r>
      <w:r>
        <w:t xml:space="preserve">real transitions, real dwell times and real variance. The pre-registration states the bar in one sentence,</w:t>
      </w:r>
      <w:r>
        <w:t xml:space="preserve"> </w:t>
      </w:r>
      <w:r>
        <w:t xml:space="preserve">and it is quoted here as written: if a fine-tuned language model cannot beat a demographically raked pool</w:t>
      </w:r>
      <w:r>
        <w:t xml:space="preserve"> </w:t>
      </w:r>
      <w:r>
        <w:t xml:space="preserve">of real European donors on the held-out country, the transfer claim fails, and there is no weaker reading</w:t>
      </w:r>
      <w:r>
        <w:t xml:space="preserve"> </w:t>
      </w:r>
      <w:r>
        <w:t xml:space="preserve">of that sentence.</w:t>
      </w:r>
    </w:p>
    <w:p>
      <w:pPr>
        <w:pStyle w:val="BodyText"/>
      </w:pPr>
      <w:r>
        <w:t xml:space="preserve">The null is hardened rather than convenient, in three specific ways. It was strengthened before training</w:t>
      </w:r>
      <w:r>
        <w:t xml:space="preserve"> </w:t>
      </w:r>
      <w:r>
        <w:t xml:space="preserve">from a pooled cross-country average to the raked real-donor construction, and the pooled average was</w:t>
      </w:r>
      <w:r>
        <w:t xml:space="preserve"> </w:t>
      </w:r>
      <w:r>
        <w:t xml:space="preserve">demoted to a secondary comparison. Non-convergence of the raking is a hard failure rather than a returned</w:t>
      </w:r>
      <w:r>
        <w:t xml:space="preserve"> </w:t>
      </w:r>
      <w:r>
        <w:t xml:space="preserve">last iterate, and a target category that no donor can supply is a hard failure rather than a silently</w:t>
      </w:r>
      <w:r>
        <w:t xml:space="preserve"> </w:t>
      </w:r>
      <w:r>
        <w:t xml:space="preserve">dropped cell. And the raking starts from a uniform seed, which discards the donor surveys’ own weights, so</w:t>
      </w:r>
      <w:r>
        <w:t xml:space="preserve"> </w:t>
      </w:r>
      <w:r>
        <w:t xml:space="preserve">the null is not given an advantage the model does not have.</w:t>
      </w:r>
    </w:p>
    <w:p>
      <w:pPr>
        <w:pStyle w:val="BodyText"/>
      </w:pPr>
      <w:r>
        <w:t xml:space="preserve">The objection that this comparison is circular deserves an explicit answer rather than a renamed gate. The</w:t>
      </w:r>
      <w:r>
        <w:t xml:space="preserve"> </w:t>
      </w:r>
      <w:r>
        <w:t xml:space="preserve">null is raked onto the same marginals the model was conditioned on, so the two candidates share a</w:t>
      </w:r>
      <w:r>
        <w:t xml:space="preserve"> </w:t>
      </w:r>
      <w:r>
        <w:t xml:space="preserve">reference. That is deliberate. The comparison is not between a candidate and its own target; it is between</w:t>
      </w:r>
      <w:r>
        <w:t xml:space="preserve"> </w:t>
      </w:r>
      <w:r>
        <w:t xml:space="preserve">two candidates’ distance to a third reference that neither produced, published by national statistical</w:t>
      </w:r>
      <w:r>
        <w:t xml:space="preserve"> </w:t>
      </w:r>
      <w:r>
        <w:t xml:space="preserve">offices before either candidate existed. Giving the null weaker or different marginals would not make the</w:t>
      </w:r>
      <w:r>
        <w:t xml:space="preserve"> </w:t>
      </w:r>
      <w:r>
        <w:t xml:space="preserve">test more demanding, it would convert a null into a handicap, and any margin it produced would measure the</w:t>
      </w:r>
      <w:r>
        <w:t xml:space="preserve"> </w:t>
      </w:r>
      <w:r>
        <w:t xml:space="preserve">handicap. The construction is enforced in code rather than asserted: the comparison refuses to run if the</w:t>
      </w:r>
      <w:r>
        <w:t xml:space="preserve"> </w:t>
      </w:r>
      <w:r>
        <w:t xml:space="preserve">two sides carry different marginal sources or if the held-out country appears in the donor pool, and the</w:t>
      </w:r>
      <w:r>
        <w:t xml:space="preserve"> </w:t>
      </w:r>
      <w:r>
        <w:t xml:space="preserve">margin is a difference rather than a ratio, so a null scored against itself returns exactly zero and</w:t>
      </w:r>
      <w:r>
        <w:t xml:space="preserve"> </w:t>
      </w:r>
      <w:r>
        <w:t xml:space="preserve">fails. No quantity anywhere in this study is a ratio of two divergences.</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§5.4,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0.075 and 0.239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authors from published TABULA parameters. The parameter source is the TABULA calculator workbook, and</w:t>
      </w:r>
      <w:r>
        <w:t xml:space="preserve"> </w:t>
      </w:r>
      <w:r>
        <w:t xml:space="preserve">the archetypes actually built are 88 in total, 24 for Spain, 32 for Great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§5.7.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Widén’s activity-based electricity and lighting work, the</w:t>
      </w:r>
      <w:r>
        <w:t xml:space="preserve"> </w:t>
      </w:r>
      <w:r>
        <w:t xml:space="preserve">LoadProfileGenerator, and RAMP.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failing gates. The</w:t>
      </w:r>
      <w:r>
        <w:t xml:space="preserve"> </w:t>
      </w:r>
      <w:r>
        <w:t xml:space="preserve">trigger fires from the primary recorded activity only; the secondary activity field is used, where</w:t>
      </w:r>
      <w:r>
        <w:t xml:space="preserve"> </w:t>
      </w:r>
      <w:r>
        <w:t xml:space="preserve">coverage allows, to calibrate the conditional probability, and never as a runtime trigger. This follows</w:t>
      </w:r>
      <w:r>
        <w:t xml:space="preserve"> </w:t>
      </w:r>
      <w:r>
        <w:t xml:space="preserve">what all four source models do natively and was the conservative choice, and its cost was declared at the</w:t>
      </w:r>
      <w:r>
        <w:t xml:space="preserve"> </w:t>
      </w:r>
      <w:r>
        <w:t xml:space="preserve">time rather than discovered later: a load that is only ever recorded as a secondary activity is invisible</w:t>
      </w:r>
      <w:r>
        <w:t xml:space="preserve"> </w:t>
      </w:r>
      <w:r>
        <w:t xml:space="preserve">to a primary-only trigger, and no published measurement exists that would bound how much energy such</w:t>
      </w:r>
      <w:r>
        <w:t xml:space="preserve"> </w:t>
      </w:r>
      <w:r>
        <w:t xml:space="preserve">loads represent. The limitation is therefore stated as unbounded. Laundry is the archetypal case and its</w:t>
      </w:r>
      <w:r>
        <w:t xml:space="preserve"> </w:t>
      </w:r>
      <w:r>
        <w:t xml:space="preserve">size is measured directly, in §5.6.</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200.02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§5.6 and §7.6 rather than smoothed over.</w:t>
      </w:r>
      <w:r>
        <w:t xml:space="preserve"> </w:t>
      </w:r>
      <w:r>
        <w:t xml:space="preserve">Jordan and Vajen state 200 litres per day for a single-family house at a 35 kelvin rise, with no</w:t>
      </w:r>
      <w:r>
        <w:t xml:space="preserve"> </w:t>
      </w:r>
      <w:r>
        <w:t xml:space="preserve">per-person figure and no 60 degree reference anywhere. The 30 to 50 litres per person per day band that</w:t>
      </w:r>
      <w:r>
        <w:t xml:space="preserve"> </w:t>
      </w:r>
      <w:r>
        <w:t xml:space="preserve">was registered traces instead to a review by Fuentes, Arce and Salom, compressed into a single</w:t>
      </w:r>
      <w:r>
        <w:t xml:space="preserve"> </w:t>
      </w:r>
      <w:r>
        <w:t xml:space="preserve">attribution in error. The model is per dwelling, the band is per person, and the ratio between them is</w:t>
      </w:r>
      <w:r>
        <w:t xml:space="preserve"> </w:t>
      </w:r>
      <w:r>
        <w:t xml:space="preserve">exactly the household size. The band was not moved, the medians are still printed outside it, the gate is</w:t>
      </w:r>
      <w:r>
        <w:t xml:space="preserve"> </w:t>
      </w:r>
      <w:r>
        <w:t xml:space="preserve">permanently informational, and a replacement gate scoring the per-dwelling quantity against Jordan and</w:t>
      </w:r>
      <w:r>
        <w:t xml:space="preserve"> </w:t>
      </w:r>
      <w:r>
        <w:t xml:space="preserve">Vajen’s own figure was built, seen failing on a deliberately doubled 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 bar,</w:t>
      </w:r>
      <w:r>
        <w:t xml:space="preserve"> </w:t>
      </w:r>
      <w:r>
        <w:t xml:space="preserve">the metrics, the failure criteria, and a second household-level hold-out that is used only as an ordinary</w:t>
      </w:r>
      <w:r>
        <w:t xml:space="preserve"> </w:t>
      </w:r>
      <w:r>
        <w:t xml:space="preserve">sanity check and is never reported as transfer. Two automated checks enforce it at every run: one verifies</w:t>
      </w:r>
      <w:r>
        <w:t xml:space="preserve"> </w:t>
      </w:r>
      <w:r>
        <w:t xml:space="preserve">that exactly zero records of the held-out country were loaded, and the other recomputes the</w:t>
      </w:r>
      <w:r>
        <w:t xml:space="preserve"> </w:t>
      </w:r>
      <w:r>
        <w:t xml:space="preserve">pre-registration file’s hash from disk and compares it to the frozen value. The fold to be measured first</w:t>
      </w:r>
      <w:r>
        <w:t xml:space="preserve"> </w:t>
      </w:r>
      <w:r>
        <w:t xml:space="preserve">was named by an alphabetical rule before training so that it could not be chosen after seeing results.</w:t>
      </w:r>
    </w:p>
    <w:p>
      <w:pPr>
        <w:pStyle w:val="BodyText"/>
      </w:pPr>
      <w:r>
        <w:t xml:space="preserve">Three reporting clauses were fixed at the same time and are honoured here. All three folds are reported</w:t>
      </w:r>
      <w:r>
        <w:t xml:space="preserve"> </w:t>
      </w:r>
      <w:r>
        <w:t xml:space="preserve">including the worst. Once any fold is scored the design is frozen: architecture, prompt format,</w:t>
      </w:r>
      <w:r>
        <w:t xml:space="preserve"> </w:t>
      </w:r>
      <w:r>
        <w:t xml:space="preserve">hyperparameters, checks and bands. And a failing bar is reported at the strength at which it failed.</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is 88 archetypes by five sensitivity levels by ten diaries, plus 440 independent re-runs used as</w:t>
      </w:r>
      <w:r>
        <w:t xml:space="preserve"> </w:t>
      </w:r>
      <w:r>
        <w:t xml:space="preserve">reproducibility tripwires, giving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and its gate board was never executed. It is described in this paper as a</w:t>
      </w:r>
      <w:r>
        <w:t xml:space="preserve"> </w:t>
      </w:r>
      <w:r>
        <w:t xml:space="preserve">compute campaign whose board was deliberately not read, and no scored result from it is claimed anywhere.</w:t>
      </w:r>
      <w:r>
        <w:t xml:space="preserve"> </w:t>
      </w:r>
      <w:r>
        <w:t xml:space="preserve">The earlier core-era campaign, of 410 cells, is retained as a method and reproducibility record and is not</w:t>
      </w:r>
      <w:r>
        <w:t xml:space="preserve"> </w:t>
      </w:r>
      <w:r>
        <w:t xml:space="preserve">reported as a result either.</w:t>
      </w:r>
    </w:p>
    <w:p>
      <w:pPr>
        <w:pStyle w:val="BodyText"/>
      </w:pPr>
      <w:r>
        <w:t xml:space="preserve">Two checks from the earlier campaign remain failing and are the only open items in the whole pipeline.</w:t>
      </w:r>
      <w:r>
        <w:t xml:space="preserve"> </w:t>
      </w:r>
      <w:r>
        <w:t xml:space="preserve">Both are provenance-link gaps rather than data defects: five manifest fields are written on zero of 410</w:t>
      </w:r>
      <w:r>
        <w:t xml:space="preserve"> </w:t>
      </w:r>
      <w:r>
        <w:t xml:space="preserve">cells, and the rotation declaration is absent from every cell manifest although the convention is declared</w:t>
      </w:r>
      <w:r>
        <w:t xml:space="preserve"> </w:t>
      </w:r>
      <w:r>
        <w:t xml:space="preserve">correctly upstream. Neither was retrofitted, because a field that was never written is not repaired by</w:t>
      </w:r>
      <w:r>
        <w:t xml:space="preserve"> </w:t>
      </w:r>
      <w:r>
        <w:t xml:space="preserve">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 so</w:t>
      </w:r>
      <w:r>
        <w:t xml:space="preserve"> </w:t>
      </w:r>
      <w:r>
        <w:t xml:space="preserve">that a reader can see which bands carry external authority and which do not. Where a band turned out to</w:t>
      </w:r>
      <w:r>
        <w:t xml:space="preserve"> </w:t>
      </w:r>
      <w:r>
        <w:t xml:space="preserve">carry none, that is reported rather than repaired; one check in the training stage fails against a</w:t>
      </w:r>
      <w:r>
        <w:t xml:space="preserve"> </w:t>
      </w:r>
      <w:r>
        <w:t xml:space="preserve">threshold whose justification appears nowhere in the thresholds file, and it is reported failing with that</w:t>
      </w:r>
      <w:r>
        <w:t xml:space="preserve"> </w:t>
      </w:r>
      <w:r>
        <w:t xml:space="preserve">stated.</w:t>
      </w:r>
    </w:p>
    <w:p>
      <w:pPr>
        <w:pStyle w:val="BodyText"/>
      </w:pPr>
      <w:r>
        <w:t xml:space="preserve">Every check is paired with a mutation battery. A deliberately injected fault must fell the check that</w:t>
      </w:r>
      <w:r>
        <w:t xml:space="preserve"> </w:t>
      </w:r>
      <w:r>
        <w:t xml:space="preserve">names it before the check’s passing verdict is trusted. Batteries report a coverage clause, and that clause</w:t>
      </w:r>
      <w:r>
        <w:t xml:space="preserve"> </w:t>
      </w:r>
      <w:r>
        <w:t xml:space="preserve">distinguishes three states that are routinely conflated: a check that passed and was seen failing, a check</w:t>
      </w:r>
      <w:r>
        <w:t xml:space="preserve"> </w:t>
      </w:r>
      <w:r>
        <w:t xml:space="preserve">that passed but could not be demonstrated, and a check that was already failing at baseline and therefore</w:t>
      </w:r>
      <w:r>
        <w:t xml:space="preserve"> </w:t>
      </w:r>
      <w:r>
        <w:t xml:space="preserve">cannot demonstrate anything. Results of the third kind are reported as already failing rather than as</w:t>
      </w:r>
      <w:r>
        <w:t xml:space="preserve"> </w:t>
      </w:r>
      <w:r>
        <w:t xml:space="preserve">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four such appear in this work, all of them citation checks requiring network</w:t>
      </w:r>
      <w:r>
        <w:t xml:space="preserve"> </w:t>
      </w:r>
      <w:r>
        <w:t xml:space="preserve">access. And a refusal is a first-class outcome: where authorisation to run a campaign is not authorisation</w:t>
      </w:r>
      <w:r>
        <w:t xml:space="preserve"> </w:t>
      </w:r>
      <w:r>
        <w:t xml:space="preserve">to read it as a scored result, the tooling refuses to emit a scored verdict, and §4.4 reports one campaign</w:t>
      </w:r>
      <w:r>
        <w:t xml:space="preserve"> </w:t>
      </w:r>
      <w:r>
        <w:t xml:space="preserve">that sits in exactly that state.</w:t>
      </w:r>
    </w:p>
    <w:bookmarkEnd w:id="80"/>
    <w:bookmarkEnd w:id="81"/>
    <w:bookmarkStart w:id="108" w:name="results"/>
    <w:p>
      <w:pPr>
        <w:pStyle w:val="Heading1"/>
      </w:pPr>
      <w:r>
        <w:t xml:space="preserve">5 Results</w:t>
      </w:r>
    </w:p>
    <w:bookmarkStart w:id="85" w:name="Xa3f71d8375276e426082344e7c47aceb8351da0"/>
    <w:p>
      <w:pPr>
        <w:pStyle w:val="Heading3"/>
      </w:pPr>
      <w:r>
        <w:t xml:space="preserve">5.1 The pre-registered transfer bar fails in nine of nine cells</w:t>
      </w:r>
    </w:p>
    <w:p>
      <w:pPr>
        <w:pStyle w:val="FirstParagraph"/>
      </w:pPr>
      <w:r>
        <w:t xml:space="preserve">The primary comparison is the model’s time-budget mean absolute error against the raked donor pool’s, per</w:t>
      </w:r>
      <w:r>
        <w:t xml:space="preserve"> </w:t>
      </w:r>
      <w:r>
        <w:t xml:space="preserve">activity band, per fold. Lower is better, and the margin is the null’s error minus the model’s, so a</w:t>
      </w:r>
      <w:r>
        <w:t xml:space="preserve"> </w:t>
      </w:r>
      <w:r>
        <w:t xml:space="preserve">positive margin is a win for the model.</w:t>
      </w:r>
    </w:p>
    <w:p>
      <w:pPr>
        <w:pStyle w:val="BodyText"/>
      </w:pPr>
      <w:r>
        <w:rPr>
          <w:b/>
          <w:bCs/>
        </w:rPr>
        <w:t xml:space="preserve">Table 5.</w:t>
      </w:r>
      <w:r>
        <w:t xml:space="preserve"> </w:t>
      </w:r>
      <w:r>
        <w:t xml:space="preserve">- Time-budget mean absolute error, minutes per day, three published age bands per fold.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spacing w:after="0" w:line="240" w:lineRule="auto"/>
              <w:pStyle w:val="Compact"/>
            </w:pPr>
            <w:r>
              <w:rPr>
                <w:sz w:val="20"/>
                <w:szCs w:val="20"/>
              </w:rPr>
              <w:t xml:space="preserve">Fold</w:t>
            </w:r>
          </w:p>
        </w:tc>
        <w:tc>
          <w:tcPr/>
          <w:p>
            <w:pPr>
              <w:spacing w:after="0" w:line="240" w:lineRule="auto"/>
              <w:pStyle w:val="Compact"/>
            </w:pPr>
            <w:r>
              <w:rPr>
                <w:sz w:val="20"/>
                <w:szCs w:val="20"/>
              </w:rPr>
              <w:t xml:space="preserve">Band</w:t>
            </w:r>
          </w:p>
        </w:tc>
        <w:tc>
          <w:tcPr/>
          <w:p>
            <w:pPr>
              <w:spacing w:after="0" w:line="240" w:lineRule="auto"/>
              <w:pStyle w:val="Compact"/>
              <w:jc w:val="right"/>
            </w:pPr>
            <w:r>
              <w:rPr>
                <w:sz w:val="20"/>
                <w:szCs w:val="20"/>
              </w:rPr>
              <w:t xml:space="preserve">Model</w:t>
            </w:r>
          </w:p>
        </w:tc>
        <w:tc>
          <w:tcPr/>
          <w:p>
            <w:pPr>
              <w:spacing w:after="0" w:line="240" w:lineRule="auto"/>
              <w:pStyle w:val="Compact"/>
              <w:jc w:val="right"/>
            </w:pPr>
            <w:r>
              <w:rPr>
                <w:sz w:val="20"/>
                <w:szCs w:val="20"/>
              </w:rPr>
              <w:t xml:space="preserve">Raked-donor null</w:t>
            </w:r>
          </w:p>
        </w:tc>
        <w:tc>
          <w:tcPr/>
          <w:p>
            <w:pPr>
              <w:spacing w:after="0" w:line="240" w:lineRule="auto"/>
              <w:pStyle w:val="Compact"/>
              <w:jc w:val="right"/>
            </w:pPr>
            <w:r>
              <w:rPr>
                <w:sz w:val="20"/>
                <w:szCs w:val="20"/>
              </w:rPr>
              <w:t xml:space="preserve">Margin</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36.81</w:t>
            </w:r>
          </w:p>
        </w:tc>
        <w:tc>
          <w:tcPr/>
          <w:p>
            <w:pPr>
              <w:spacing w:after="0" w:line="240" w:lineRule="auto"/>
              <w:pStyle w:val="Compact"/>
              <w:jc w:val="right"/>
            </w:pPr>
            <w:r>
              <w:rPr>
                <w:sz w:val="20"/>
                <w:szCs w:val="20"/>
              </w:rPr>
              <w:t xml:space="preserve">9.94</w:t>
            </w:r>
          </w:p>
        </w:tc>
        <w:tc>
          <w:tcPr/>
          <w:p>
            <w:pPr>
              <w:spacing w:after="0" w:line="240" w:lineRule="auto"/>
              <w:pStyle w:val="Compact"/>
              <w:jc w:val="right"/>
            </w:pPr>
            <w:r>
              <w:rPr>
                <w:sz w:val="20"/>
                <w:szCs w:val="20"/>
              </w:rPr>
              <w:t xml:space="preserve">-26.9</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34.52</w:t>
            </w:r>
          </w:p>
        </w:tc>
        <w:tc>
          <w:tcPr/>
          <w:p>
            <w:pPr>
              <w:spacing w:after="0" w:line="240" w:lineRule="auto"/>
              <w:pStyle w:val="Compact"/>
              <w:jc w:val="right"/>
            </w:pPr>
            <w:r>
              <w:rPr>
                <w:sz w:val="20"/>
                <w:szCs w:val="20"/>
              </w:rPr>
              <w:t xml:space="preserve">8.82</w:t>
            </w:r>
          </w:p>
        </w:tc>
        <w:tc>
          <w:tcPr/>
          <w:p>
            <w:pPr>
              <w:spacing w:after="0" w:line="240" w:lineRule="auto"/>
              <w:pStyle w:val="Compact"/>
              <w:jc w:val="right"/>
            </w:pPr>
            <w:r>
              <w:rPr>
                <w:sz w:val="20"/>
                <w:szCs w:val="20"/>
              </w:rPr>
              <w:t xml:space="preserve">-25.7</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44.32</w:t>
            </w:r>
          </w:p>
        </w:tc>
        <w:tc>
          <w:tcPr/>
          <w:p>
            <w:pPr>
              <w:spacing w:after="0" w:line="240" w:lineRule="auto"/>
              <w:pStyle w:val="Compact"/>
              <w:jc w:val="right"/>
            </w:pPr>
            <w:r>
              <w:rPr>
                <w:sz w:val="20"/>
                <w:szCs w:val="20"/>
              </w:rPr>
              <w:t xml:space="preserve">11.81</w:t>
            </w:r>
          </w:p>
        </w:tc>
        <w:tc>
          <w:tcPr/>
          <w:p>
            <w:pPr>
              <w:spacing w:after="0" w:line="240" w:lineRule="auto"/>
              <w:pStyle w:val="Compact"/>
              <w:jc w:val="right"/>
            </w:pPr>
            <w:r>
              <w:rPr>
                <w:sz w:val="20"/>
                <w:szCs w:val="20"/>
              </w:rPr>
              <w:t xml:space="preserve">-32.5</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58.91</w:t>
            </w:r>
          </w:p>
        </w:tc>
        <w:tc>
          <w:tcPr/>
          <w:p>
            <w:pPr>
              <w:spacing w:after="0" w:line="240" w:lineRule="auto"/>
              <w:pStyle w:val="Compact"/>
              <w:jc w:val="right"/>
            </w:pPr>
            <w:r>
              <w:rPr>
                <w:sz w:val="20"/>
                <w:szCs w:val="20"/>
              </w:rPr>
              <w:t xml:space="preserve">21.79</w:t>
            </w:r>
          </w:p>
        </w:tc>
        <w:tc>
          <w:tcPr/>
          <w:p>
            <w:pPr>
              <w:spacing w:after="0" w:line="240" w:lineRule="auto"/>
              <w:pStyle w:val="Compact"/>
              <w:jc w:val="right"/>
            </w:pPr>
            <w:r>
              <w:rPr>
                <w:sz w:val="20"/>
                <w:szCs w:val="20"/>
              </w:rPr>
              <w:t xml:space="preserve">-37.1</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60.44</w:t>
            </w:r>
          </w:p>
        </w:tc>
        <w:tc>
          <w:tcPr/>
          <w:p>
            <w:pPr>
              <w:spacing w:after="0" w:line="240" w:lineRule="auto"/>
              <w:pStyle w:val="Compact"/>
              <w:jc w:val="right"/>
            </w:pPr>
            <w:r>
              <w:rPr>
                <w:sz w:val="20"/>
                <w:szCs w:val="20"/>
              </w:rPr>
              <w:t xml:space="preserve">19.21</w:t>
            </w:r>
          </w:p>
        </w:tc>
        <w:tc>
          <w:tcPr/>
          <w:p>
            <w:pPr>
              <w:spacing w:after="0" w:line="240" w:lineRule="auto"/>
              <w:pStyle w:val="Compact"/>
              <w:jc w:val="right"/>
            </w:pPr>
            <w:r>
              <w:rPr>
                <w:sz w:val="20"/>
                <w:szCs w:val="20"/>
              </w:rPr>
              <w:t xml:space="preserve">-41.2</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21.24</w:t>
            </w:r>
          </w:p>
        </w:tc>
        <w:tc>
          <w:tcPr/>
          <w:p>
            <w:pPr>
              <w:spacing w:after="0" w:line="240" w:lineRule="auto"/>
              <w:pStyle w:val="Compact"/>
              <w:jc w:val="right"/>
            </w:pPr>
            <w:r>
              <w:rPr>
                <w:sz w:val="20"/>
                <w:szCs w:val="20"/>
              </w:rPr>
              <w:t xml:space="preserve">18.54</w:t>
            </w:r>
          </w:p>
        </w:tc>
        <w:tc>
          <w:tcPr/>
          <w:p>
            <w:pPr>
              <w:spacing w:after="0" w:line="240" w:lineRule="auto"/>
              <w:pStyle w:val="Compact"/>
              <w:jc w:val="right"/>
            </w:pPr>
            <w:r>
              <w:rPr>
                <w:sz w:val="20"/>
                <w:szCs w:val="20"/>
                <w:b/>
                <w:bCs/>
              </w:rPr>
              <w:t xml:space="preserve">-2.70</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62.24</w:t>
            </w:r>
          </w:p>
        </w:tc>
        <w:tc>
          <w:tcPr/>
          <w:p>
            <w:pPr>
              <w:spacing w:after="0" w:line="240" w:lineRule="auto"/>
              <w:pStyle w:val="Compact"/>
              <w:jc w:val="right"/>
            </w:pPr>
            <w:r>
              <w:rPr>
                <w:sz w:val="20"/>
                <w:szCs w:val="20"/>
              </w:rPr>
              <w:t xml:space="preserve">19.51</w:t>
            </w:r>
          </w:p>
        </w:tc>
        <w:tc>
          <w:tcPr/>
          <w:p>
            <w:pPr>
              <w:spacing w:after="0" w:line="240" w:lineRule="auto"/>
              <w:pStyle w:val="Compact"/>
              <w:jc w:val="right"/>
            </w:pPr>
            <w:r>
              <w:rPr>
                <w:sz w:val="20"/>
                <w:szCs w:val="20"/>
              </w:rPr>
              <w:t xml:space="preserve">-42.7</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33.95</w:t>
            </w:r>
          </w:p>
        </w:tc>
        <w:tc>
          <w:tcPr/>
          <w:p>
            <w:pPr>
              <w:spacing w:after="0" w:line="240" w:lineRule="auto"/>
              <w:pStyle w:val="Compact"/>
              <w:jc w:val="right"/>
            </w:pPr>
            <w:r>
              <w:rPr>
                <w:sz w:val="20"/>
                <w:szCs w:val="20"/>
              </w:rPr>
              <w:t xml:space="preserve">13.85</w:t>
            </w:r>
          </w:p>
        </w:tc>
        <w:tc>
          <w:tcPr/>
          <w:p>
            <w:pPr>
              <w:spacing w:after="0" w:line="240" w:lineRule="auto"/>
              <w:pStyle w:val="Compact"/>
              <w:jc w:val="right"/>
            </w:pPr>
            <w:r>
              <w:rPr>
                <w:sz w:val="20"/>
                <w:szCs w:val="20"/>
              </w:rPr>
              <w:t xml:space="preserve">-20.1</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35.84</w:t>
            </w:r>
          </w:p>
        </w:tc>
        <w:tc>
          <w:tcPr/>
          <w:p>
            <w:pPr>
              <w:spacing w:after="0" w:line="240" w:lineRule="auto"/>
              <w:pStyle w:val="Compact"/>
              <w:jc w:val="right"/>
            </w:pPr>
            <w:r>
              <w:rPr>
                <w:sz w:val="20"/>
                <w:szCs w:val="20"/>
              </w:rPr>
              <w:t xml:space="preserve">15.51</w:t>
            </w:r>
          </w:p>
        </w:tc>
        <w:tc>
          <w:tcPr/>
          <w:p>
            <w:pPr>
              <w:spacing w:after="0" w:line="240" w:lineRule="auto"/>
              <w:pStyle w:val="Compact"/>
              <w:jc w:val="right"/>
            </w:pPr>
            <w:r>
              <w:rPr>
                <w:sz w:val="20"/>
                <w:szCs w:val="20"/>
              </w:rPr>
              <w:t xml:space="preserve">-20.3</w:t>
            </w:r>
          </w:p>
        </w:tc>
      </w:tr>
    </w:tbl>
    <w:p>
      <w:pPr>
        <w:pStyle w:val="BodyText"/>
      </w:pPr>
      <w:r>
        <w:t xml:space="preserve">Every margin is negative. The null wins every band of every fold by factors between two and six, and the</w:t>
      </w:r>
      <w:r>
        <w:t xml:space="preserve"> </w:t>
      </w:r>
      <w:r>
        <w:t xml:space="preserve">closest the model comes is 2.70 minutes per day short, in the oldest British band. There is no subset of</w:t>
      </w:r>
      <w:r>
        <w:t xml:space="preserve"> </w:t>
      </w:r>
      <w:r>
        <w:t xml:space="preserve">this table in which the method worked. Figure 3 draws the same nine cells.</w:t>
      </w:r>
    </w:p>
    <w:p>
      <w:pPr>
        <w:pStyle w:val="CaptionedFigure"/>
      </w:pPr>
      <w:r>
        <w:drawing>
          <wp:inline>
            <wp:extent cx="5334000" cy="3200400"/>
            <wp:effectExtent b="0" l="0" r="0" t="0"/>
            <wp:docPr descr="Figure 3" title="" id="83" name="Picture"/>
            <a:graphic>
              <a:graphicData uri="http://schemas.openxmlformats.org/drawingml/2006/picture">
                <pic:pic>
                  <pic:nvPicPr>
                    <pic:cNvPr descr="figures/Figure_03_nine_cells.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 Time-budget mean absolute error against each held-out country’s published age-band</w:t>
      </w:r>
      <w:r>
        <w:t xml:space="preserve"> </w:t>
      </w:r>
      <w:r>
        <w:t xml:space="preserve">tables, minutes per day, lower being better. The fine-tuned model is compared against a pool of real</w:t>
      </w:r>
      <w:r>
        <w:t xml:space="preserve"> </w:t>
      </w:r>
      <w:r>
        <w:t xml:space="preserve">diaries from the other two countries raked onto the same marginals. The null is closer in all nine</w:t>
      </w:r>
      <w:r>
        <w:t xml:space="preserve"> </w:t>
      </w:r>
      <w:r>
        <w:t xml:space="preserve">fold-band cells; the closest miss is 2.70 minutes per day in Britain’s oldest band. Values are those of</w:t>
      </w:r>
      <w:r>
        <w:t xml:space="preserve"> </w:t>
      </w:r>
      <w:r>
        <w:t xml:space="preserve">Table 5.</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5"/>
    <w:bookmarkStart w:id="86" w:name="X2a01f9723facfa360efd851540b4f42cbedd465"/>
    <w:p>
      <w:pPr>
        <w:pStyle w:val="Heading3"/>
      </w:pPr>
      <w:r>
        <w:t xml:space="preserve">5.2 Five further transfer gates return the same verdict</w:t>
      </w:r>
    </w:p>
    <w:p>
      <w:pPr>
        <w:pStyle w:val="FirstParagraph"/>
      </w:pPr>
      <w:r>
        <w:rPr>
          <w:b/>
          <w:bCs/>
        </w:rPr>
        <w:t xml:space="preserve">Table 6.</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What it scores</w:t>
            </w:r>
          </w:p>
        </w:tc>
        <w:tc>
          <w:tcPr/>
          <w:p>
            <w:pPr>
              <w:spacing w:after="0" w:line="240" w:lineRule="auto"/>
              <w:pStyle w:val="Compact"/>
            </w:pPr>
            <w:r>
              <w:rPr>
                <w:sz w:val="20"/>
                <w:szCs w:val="20"/>
              </w:rPr>
              <w:t xml:space="preserve">Band</w:t>
            </w:r>
          </w:p>
        </w:tc>
        <w:tc>
          <w:tcPr/>
          <w:p>
            <w:pPr>
              <w:spacing w:after="0" w:line="240" w:lineRule="auto"/>
              <w:pStyle w:val="Compact"/>
            </w:pPr>
            <w:r>
              <w:rPr>
                <w:sz w:val="20"/>
                <w:szCs w:val="20"/>
              </w:rPr>
              <w:t xml:space="preserve">Verdict</w:t>
            </w:r>
          </w:p>
        </w:tc>
      </w:tr>
      <w:tr>
        <w:tc>
          <w:tcPr/>
          <w:p>
            <w:pPr>
              <w:spacing w:after="0" w:line="240" w:lineRule="auto"/>
              <w:pStyle w:val="Compact"/>
            </w:pPr>
            <w:r>
              <w:rPr>
                <w:sz w:val="20"/>
                <w:szCs w:val="20"/>
              </w:rPr>
              <w:t xml:space="preserve">Budget agreement</w:t>
            </w:r>
          </w:p>
        </w:tc>
        <w:tc>
          <w:tcPr/>
          <w:p>
            <w:pPr>
              <w:spacing w:after="0" w:line="240" w:lineRule="auto"/>
              <w:pStyle w:val="Compact"/>
            </w:pPr>
            <w:r>
              <w:rPr>
                <w:sz w:val="20"/>
                <w:szCs w:val="20"/>
              </w:rPr>
              <w:t xml:space="preserve">level-1 budget error against published tables</w:t>
            </w:r>
          </w:p>
        </w:tc>
        <w:tc>
          <w:tcPr/>
          <w:p>
            <w:pPr>
              <w:spacing w:after="0" w:line="240" w:lineRule="auto"/>
              <w:pStyle w:val="Compact"/>
            </w:pPr>
            <w:r>
              <w:rPr>
                <w:sz w:val="20"/>
                <w:szCs w:val="20"/>
              </w:rPr>
              <w:t xml:space="preserve">MAPE at or below 15 per cent</w:t>
            </w:r>
          </w:p>
        </w:tc>
        <w:tc>
          <w:tcPr/>
          <w:p>
            <w:pPr>
              <w:spacing w:after="0" w:line="240" w:lineRule="auto"/>
              <w:pStyle w:val="Compact"/>
            </w:pPr>
            <w:r>
              <w:rPr>
                <w:sz w:val="20"/>
                <w:szCs w:val="20"/>
              </w:rPr>
              <w:t xml:space="preserve">FAIL, 9 of 9</w:t>
            </w:r>
          </w:p>
        </w:tc>
      </w:tr>
      <w:tr>
        <w:tc>
          <w:tcPr/>
          <w:p>
            <w:pPr>
              <w:spacing w:after="0" w:line="240" w:lineRule="auto"/>
              <w:pStyle w:val="Compact"/>
            </w:pPr>
            <w:r>
              <w:rPr>
                <w:sz w:val="20"/>
                <w:szCs w:val="20"/>
              </w:rPr>
              <w:t xml:space="preserve">Frozen failure criteria</w:t>
            </w:r>
          </w:p>
        </w:tc>
        <w:tc>
          <w:tcPr/>
          <w:p>
            <w:pPr>
              <w:spacing w:after="0" w:line="240" w:lineRule="auto"/>
              <w:pStyle w:val="Compact"/>
            </w:pPr>
            <w:r>
              <w:rPr>
                <w:sz w:val="20"/>
                <w:szCs w:val="20"/>
              </w:rPr>
              <w:t xml:space="preserve">conjunction of three pre-declared failure conditions</w:t>
            </w:r>
          </w:p>
        </w:tc>
        <w:tc>
          <w:tcPr/>
          <w:p>
            <w:pPr>
              <w:spacing w:after="0" w:line="240" w:lineRule="auto"/>
              <w:pStyle w:val="Compact"/>
            </w:pPr>
            <w:r>
              <w:rPr>
                <w:sz w:val="20"/>
                <w:szCs w:val="20"/>
              </w:rPr>
              <w:t xml:space="preserve">any one triggers</w:t>
            </w:r>
          </w:p>
        </w:tc>
        <w:tc>
          <w:tcPr/>
          <w:p>
            <w:pPr>
              <w:spacing w:after="0" w:line="240" w:lineRule="auto"/>
              <w:pStyle w:val="Compact"/>
            </w:pPr>
            <w:r>
              <w:rPr>
                <w:sz w:val="20"/>
                <w:szCs w:val="20"/>
              </w:rPr>
              <w:t xml:space="preserve">FAIL, 9 of 9</w:t>
            </w:r>
          </w:p>
        </w:tc>
      </w:tr>
      <w:tr>
        <w:tc>
          <w:tcPr/>
          <w:p>
            <w:pPr>
              <w:spacing w:after="0" w:line="240" w:lineRule="auto"/>
              <w:pStyle w:val="Compact"/>
            </w:pPr>
            <w:r>
              <w:rPr>
                <w:sz w:val="20"/>
                <w:szCs w:val="20"/>
              </w:rPr>
              <w:t xml:space="preserve">Held-in regression</w:t>
            </w:r>
          </w:p>
        </w:tc>
        <w:tc>
          <w:tcPr/>
          <w:p>
            <w:pPr>
              <w:spacing w:after="0" w:line="240" w:lineRule="auto"/>
              <w:pStyle w:val="Compact"/>
            </w:pPr>
            <w:r>
              <w:rPr>
                <w:sz w:val="20"/>
                <w:szCs w:val="20"/>
              </w:rPr>
              <w:t xml:space="preserve">training-country prefixes must clear the same bar</w:t>
            </w:r>
          </w:p>
        </w:tc>
        <w:tc>
          <w:tcPr/>
          <w:p>
            <w:pPr>
              <w:spacing w:after="0" w:line="240" w:lineRule="auto"/>
              <w:pStyle w:val="Compact"/>
            </w:pPr>
            <w:r>
              <w:rPr>
                <w:sz w:val="20"/>
                <w:szCs w:val="20"/>
              </w:rPr>
              <w:t xml:space="preserve">MAPE at or below 15 per cent</w:t>
            </w:r>
          </w:p>
        </w:tc>
        <w:tc>
          <w:tcPr/>
          <w:p>
            <w:pPr>
              <w:spacing w:after="0" w:line="240" w:lineRule="auto"/>
              <w:pStyle w:val="Compact"/>
            </w:pPr>
            <w:r>
              <w:rPr>
                <w:sz w:val="20"/>
                <w:szCs w:val="20"/>
              </w:rPr>
              <w:t xml:space="preserve">FAIL, 6 of 6</w:t>
            </w:r>
          </w:p>
        </w:tc>
      </w:tr>
      <w:tr>
        <w:tc>
          <w:tcPr/>
          <w:p>
            <w:pPr>
              <w:spacing w:after="0" w:line="240" w:lineRule="auto"/>
              <w:pStyle w:val="Compact"/>
            </w:pPr>
            <w:r>
              <w:rPr>
                <w:sz w:val="20"/>
                <w:szCs w:val="20"/>
              </w:rPr>
              <w:t xml:space="preserve">Fictional country</w:t>
            </w:r>
          </w:p>
        </w:tc>
        <w:tc>
          <w:tcPr/>
          <w:p>
            <w:pPr>
              <w:spacing w:after="0" w:line="240" w:lineRule="auto"/>
              <w:pStyle w:val="Compact"/>
            </w:pPr>
            <w:r>
              <w:rPr>
                <w:sz w:val="20"/>
                <w:szCs w:val="20"/>
              </w:rPr>
              <w:t xml:space="preserve">response to an unseen country token</w:t>
            </w:r>
          </w:p>
        </w:tc>
        <w:tc>
          <w:tcPr/>
          <w:p>
            <w:pPr>
              <w:spacing w:after="0" w:line="240" w:lineRule="auto"/>
              <w:pStyle w:val="Compact"/>
            </w:pPr>
            <w:r>
              <w:rPr>
                <w:sz w:val="20"/>
                <w:szCs w:val="20"/>
              </w:rPr>
              <w:t xml:space="preserve">slope at or above 0.80</w:t>
            </w:r>
          </w:p>
        </w:tc>
        <w:tc>
          <w:tcPr/>
          <w:p>
            <w:pPr>
              <w:spacing w:after="0" w:line="240" w:lineRule="auto"/>
              <w:pStyle w:val="Compact"/>
            </w:pPr>
            <w:r>
              <w:rPr>
                <w:sz w:val="20"/>
                <w:szCs w:val="20"/>
              </w:rPr>
              <w:t xml:space="preserve">FAIL, 3 of 3</w:t>
            </w:r>
          </w:p>
        </w:tc>
      </w:tr>
      <w:tr>
        <w:tc>
          <w:tcPr/>
          <w:p>
            <w:pPr>
              <w:spacing w:after="0" w:line="240" w:lineRule="auto"/>
              <w:pStyle w:val="Compact"/>
            </w:pPr>
            <w:r>
              <w:rPr>
                <w:sz w:val="20"/>
                <w:szCs w:val="20"/>
              </w:rPr>
              <w:t xml:space="preserve">Joint structure</w:t>
            </w:r>
          </w:p>
        </w:tc>
        <w:tc>
          <w:tcPr/>
          <w:p>
            <w:pPr>
              <w:spacing w:after="0" w:line="240" w:lineRule="auto"/>
              <w:pStyle w:val="Compact"/>
            </w:pPr>
            <w:r>
              <w:rPr>
                <w:sz w:val="20"/>
                <w:szCs w:val="20"/>
              </w:rPr>
              <w:t xml:space="preserve">dwell times, transitions, diurnal shape</w:t>
            </w:r>
          </w:p>
        </w:tc>
        <w:tc>
          <w:tcPr/>
          <w:p>
            <w:pPr>
              <w:spacing w:after="0" w:line="240" w:lineRule="auto"/>
              <w:pStyle w:val="Compact"/>
            </w:pPr>
            <w:r>
              <w:rPr>
                <w:sz w:val="20"/>
                <w:szCs w:val="20"/>
              </w:rPr>
              <w:t xml:space="preserve">see §5.5</w:t>
            </w:r>
          </w:p>
        </w:tc>
        <w:tc>
          <w:tcPr/>
          <w:p>
            <w:pPr>
              <w:spacing w:after="0" w:line="240" w:lineRule="auto"/>
              <w:pStyle w:val="Compact"/>
            </w:pPr>
            <w:r>
              <w:rPr>
                <w:sz w:val="20"/>
                <w:szCs w:val="20"/>
              </w:rPr>
              <w:t xml:space="preserve">FAIL, all folds, both weight bases</w:t>
            </w:r>
          </w:p>
        </w:tc>
      </w:tr>
      <w:tr>
        <w:tc>
          <w:tcPr/>
          <w:p>
            <w:pPr>
              <w:spacing w:after="0" w:line="240" w:lineRule="auto"/>
              <w:pStyle w:val="Compact"/>
            </w:pPr>
            <w:r>
              <w:rPr>
                <w:sz w:val="20"/>
                <w:szCs w:val="20"/>
              </w:rPr>
              <w:t xml:space="preserve">Country discrimination</w:t>
            </w:r>
          </w:p>
        </w:tc>
        <w:tc>
          <w:tcPr/>
          <w:p>
            <w:pPr>
              <w:spacing w:after="0" w:line="240" w:lineRule="auto"/>
              <w:pStyle w:val="Compact"/>
            </w:pPr>
            <w:r>
              <w:rPr>
                <w:sz w:val="20"/>
                <w:szCs w:val="20"/>
              </w:rPr>
              <w:t xml:space="preserve">generated profile nearer its own table than any other</w:t>
            </w:r>
          </w:p>
        </w:tc>
        <w:tc>
          <w:tcPr/>
          <w:p>
            <w:pPr>
              <w:spacing w:after="0" w:line="240" w:lineRule="auto"/>
              <w:pStyle w:val="Compact"/>
            </w:pPr>
            <w:r>
              <w:rPr>
                <w:sz w:val="20"/>
                <w:szCs w:val="20"/>
              </w:rPr>
              <w:t xml:space="preserve">relative margin above 0.5</w:t>
            </w:r>
          </w:p>
        </w:tc>
        <w:tc>
          <w:tcPr/>
          <w:p>
            <w:pPr>
              <w:spacing w:after="0" w:line="240" w:lineRule="auto"/>
              <w:pStyle w:val="Compact"/>
            </w:pPr>
            <w:r>
              <w:rPr>
                <w:sz w:val="20"/>
                <w:szCs w:val="20"/>
              </w:rPr>
              <w:t xml:space="preserve">FAIL, 9 of 9</w:t>
            </w:r>
          </w:p>
        </w:tc>
      </w:tr>
    </w:tbl>
    <w:p>
      <w:pPr>
        <w:pStyle w:val="BodyText"/>
      </w:pPr>
      <w:r>
        <w:t xml:space="preserve">Three of these carry readings that qualify how much independent evidence they add, and all three are</w:t>
      </w:r>
      <w:r>
        <w:t xml:space="preserve"> </w:t>
      </w:r>
      <w:r>
        <w:t xml:space="preserve">stated rather than absorbed into a count.</w:t>
      </w:r>
    </w:p>
    <w:p>
      <w:pPr>
        <w:pStyle w:val="BodyText"/>
      </w:pPr>
      <w:r>
        <w:t xml:space="preserve">The frozen-criteria check returns a failing coverage clause, and the reason is vacuity rather than</w:t>
      </w:r>
      <w:r>
        <w:t xml:space="preserve"> </w:t>
      </w:r>
      <w:r>
        <w:t xml:space="preserve">weakness: every cell was already failing at baseline, so no injected fault could demonstrate detection.</w:t>
      </w:r>
      <w:r>
        <w:t xml:space="preserve"> </w:t>
      </w:r>
      <w:r>
        <w:t xml:space="preserve">A coverage clause that fails because the gate was never in a position to demonstrate anything is not the</w:t>
      </w:r>
      <w:r>
        <w:t xml:space="preserve"> </w:t>
      </w:r>
      <w:r>
        <w:t xml:space="preserve">same as one that fails because the gate is weak, and the two are never collapsed in this work.</w:t>
      </w:r>
    </w:p>
    <w:p>
      <w:pPr>
        <w:pStyle w:val="BodyText"/>
      </w:pPr>
      <w:r>
        <w:t xml:space="preserve">The held-in regression check was corrected downward during analysis rather than up. Its second clause was</w:t>
      </w:r>
      <w:r>
        <w:t xml:space="preserve"> </w:t>
      </w:r>
      <w:r>
        <w:t xml:space="preserve">initially read as passing in five of six cells and on re-derivation passes in two. Against that, the same</w:t>
      </w:r>
      <w:r>
        <w:t xml:space="preserve"> </w:t>
      </w:r>
      <w:r>
        <w:t xml:space="preserve">apparatus scored on the real corpus rather than on generated output passes in all three folds, which</w:t>
      </w:r>
      <w:r>
        <w:t xml:space="preserve"> </w:t>
      </w:r>
      <w:r>
        <w:t xml:space="preserve">establishes that the check can be satisfied and that the failure is a property of the generated</w:t>
      </w:r>
      <w:r>
        <w:t xml:space="preserve"> </w:t>
      </w:r>
      <w:r>
        <w:t xml:space="preserve">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 failure</w:t>
      </w:r>
      <w:r>
        <w:t xml:space="preserve"> </w:t>
      </w:r>
      <w:r>
        <w:t xml:space="preserve">read on different quantities, and it is reported as such rather than counted as a sixth witness.</w:t>
      </w:r>
    </w:p>
    <w:bookmarkEnd w:id="86"/>
    <w:bookmarkStart w:id="87" w:name="X4415aa467a620e56f8ecc3805cf22111b713d10"/>
    <w:p>
      <w:pPr>
        <w:pStyle w:val="Heading3"/>
      </w:pPr>
      <w:r>
        <w:t xml:space="preserve">5.3 Capacity is not the explanation, measured three ways</w:t>
      </w:r>
    </w:p>
    <w:p>
      <w:pPr>
        <w:pStyle w:val="FirstParagraph"/>
      </w:pPr>
      <w:r>
        <w:rPr>
          <w:b/>
          <w:bCs/>
        </w:rPr>
        <w:t xml:space="preserve">Table 7.</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Intervention</w:t>
            </w:r>
          </w:p>
        </w:tc>
        <w:tc>
          <w:tcPr/>
          <w:p>
            <w:pPr>
              <w:spacing w:after="0" w:line="240" w:lineRule="auto"/>
              <w:pStyle w:val="Compact"/>
            </w:pPr>
            <w:r>
              <w:rPr>
                <w:sz w:val="20"/>
                <w:szCs w:val="20"/>
              </w:rPr>
              <w:t xml:space="preserve">Change</w:t>
            </w:r>
          </w:p>
        </w:tc>
        <w:tc>
          <w:tcPr/>
          <w:p>
            <w:pPr>
              <w:spacing w:after="0" w:line="240" w:lineRule="auto"/>
              <w:pStyle w:val="Compact"/>
            </w:pPr>
            <w:r>
              <w:rPr>
                <w:sz w:val="20"/>
                <w:szCs w:val="20"/>
              </w:rPr>
              <w:t xml:space="preserve">Effect on the transfer result</w:t>
            </w:r>
          </w:p>
        </w:tc>
      </w:tr>
      <w:tr>
        <w:tc>
          <w:tcPr/>
          <w:p>
            <w:pPr>
              <w:spacing w:after="0" w:line="240" w:lineRule="auto"/>
              <w:pStyle w:val="Compact"/>
            </w:pPr>
            <w:r>
              <w:rPr>
                <w:sz w:val="20"/>
                <w:szCs w:val="20"/>
              </w:rPr>
              <w:t xml:space="preserve">Backbone size</w:t>
            </w:r>
          </w:p>
        </w:tc>
        <w:tc>
          <w:tcPr/>
          <w:p>
            <w:pPr>
              <w:spacing w:after="0" w:line="240" w:lineRule="auto"/>
              <w:pStyle w:val="Compact"/>
            </w:pPr>
            <w:r>
              <w:rPr>
                <w:sz w:val="20"/>
                <w:szCs w:val="20"/>
              </w:rPr>
              <w:t xml:space="preserve">1.48 B to 7.30 B, a factor of 4.7</w:t>
            </w:r>
          </w:p>
        </w:tc>
        <w:tc>
          <w:tcPr/>
          <w:p>
            <w:pPr>
              <w:spacing w:after="0" w:line="240" w:lineRule="auto"/>
              <w:pStyle w:val="Compact"/>
            </w:pPr>
            <w:r>
              <w:rPr>
                <w:sz w:val="20"/>
                <w:szCs w:val="20"/>
              </w:rPr>
              <w:t xml:space="preserve">mean error 42.05 to 43.14 minutes per day, worse; 4 cells better, 5 worse, no consistent sign</w:t>
            </w:r>
          </w:p>
        </w:tc>
      </w:tr>
      <w:tr>
        <w:tc>
          <w:tcPr/>
          <w:p>
            <w:pPr>
              <w:spacing w:after="0" w:line="240" w:lineRule="auto"/>
              <w:pStyle w:val="Compact"/>
            </w:pPr>
            <w:r>
              <w:rPr>
                <w:sz w:val="20"/>
                <w:szCs w:val="20"/>
              </w:rPr>
              <w:t xml:space="preserve">Trainable parameters</w:t>
            </w:r>
          </w:p>
        </w:tc>
        <w:tc>
          <w:tcPr/>
          <w:p>
            <w:pPr>
              <w:spacing w:after="0" w:line="240" w:lineRule="auto"/>
              <w:pStyle w:val="Compact"/>
            </w:pPr>
            <w:r>
              <w:rPr>
                <w:sz w:val="20"/>
                <w:szCs w:val="20"/>
              </w:rPr>
              <w:t xml:space="preserve">79,953,920 to 7,377,965,056, a factor of 92</w:t>
            </w:r>
          </w:p>
        </w:tc>
        <w:tc>
          <w:tcPr/>
          <w:p>
            <w:pPr>
              <w:spacing w:after="0" w:line="240" w:lineRule="auto"/>
              <w:pStyle w:val="Compact"/>
            </w:pPr>
            <w:r>
              <w:rPr>
                <w:sz w:val="20"/>
                <w:szCs w:val="20"/>
              </w:rPr>
              <w:t xml:space="preserve">higher training loss at every epoch; 0.508305 against 0.513494 at epoch 2</w:t>
            </w:r>
          </w:p>
        </w:tc>
      </w:tr>
      <w:tr>
        <w:tc>
          <w:tcPr/>
          <w:p>
            <w:pPr>
              <w:spacing w:after="0" w:line="240" w:lineRule="auto"/>
              <w:pStyle w:val="Compact"/>
            </w:pPr>
            <w:r>
              <w:rPr>
                <w:sz w:val="20"/>
                <w:szCs w:val="20"/>
              </w:rPr>
              <w:t xml:space="preserve">Backbone family</w:t>
            </w:r>
          </w:p>
        </w:tc>
        <w:tc>
          <w:tcPr/>
          <w:p>
            <w:pPr>
              <w:spacing w:after="0" w:line="240" w:lineRule="auto"/>
              <w:pStyle w:val="Compact"/>
            </w:pPr>
            <w:r>
              <w:rPr>
                <w:sz w:val="20"/>
                <w:szCs w:val="20"/>
              </w:rPr>
              <w:t xml:space="preserve">a different 7 B family, same recipe, same fold</w:t>
            </w:r>
          </w:p>
        </w:tc>
        <w:tc>
          <w:tcPr/>
          <w:p>
            <w:pPr>
              <w:spacing w:after="0" w:line="240" w:lineRule="auto"/>
              <w:pStyle w:val="Compact"/>
            </w:pPr>
            <w:r>
              <w:rPr>
                <w:sz w:val="20"/>
                <w:szCs w:val="20"/>
              </w:rPr>
              <w:t xml:space="preserve">24 per cent more wall time, 16 per cent more memory, no gate separates them but one</w:t>
            </w:r>
          </w:p>
        </w:tc>
      </w:tr>
    </w:tbl>
    <w:p>
      <w:pPr>
        <w:pStyle w:val="BodyText"/>
      </w:pPr>
      <w:r>
        <w:t xml:space="preserve">Three points about how these are to be read.</w:t>
      </w:r>
    </w:p>
    <w:p>
      <w:pPr>
        <w:pStyle w:val="BodyText"/>
      </w:pPr>
      <w:r>
        <w:t xml:space="preserve">The backbone comparison is two points and is never presented as a scaling curve. The claim is the narrow</w:t>
      </w:r>
      <w:r>
        <w:t xml:space="preserve"> </w:t>
      </w:r>
      <w:r>
        <w:t xml:space="preserve">negative one, that increasing the backbone by a factor of 4.7 did not repair the registered failure, and</w:t>
      </w:r>
      <w:r>
        <w:t xml:space="preserve"> </w:t>
      </w:r>
      <w:r>
        <w:t xml:space="preserve">in fact moved the mean in the wrong direction while reducing the number of passing budget cells from one</w:t>
      </w:r>
      <w:r>
        <w:t xml:space="preserve"> </w:t>
      </w:r>
      <w:r>
        <w:t xml:space="preserve">to zero.</w:t>
      </w:r>
    </w:p>
    <w:p>
      <w:pPr>
        <w:pStyle w:val="BodyText"/>
      </w:pPr>
      <w:r>
        <w:t xml:space="preserve">The full fine-tune is a ceiling run, not an improvement attempt. Trained on one fold with every other</w:t>
      </w:r>
      <w:r>
        <w:t xml:space="preserve"> </w:t>
      </w:r>
      <w:r>
        <w:t xml:space="preserve">setting identical, it ends at a higher training loss than the adapter at every epoch, and their content</w:t>
      </w:r>
      <w:r>
        <w:t xml:space="preserve"> </w:t>
      </w:r>
      <w:r>
        <w:t xml:space="preserve">losses tie. It is reported as evidence that the registered band failure is repaired by neither more</w:t>
      </w:r>
      <w:r>
        <w:t xml:space="preserve"> </w:t>
      </w:r>
      <w:r>
        <w:t xml:space="preserve">trainable parameters nor a larger backbone. No claim is made that the full fine-tune reduced or increased</w:t>
      </w:r>
      <w:r>
        <w:t xml:space="preserve"> </w:t>
      </w:r>
      <w:r>
        <w:t xml:space="preserve">dispersion.</w:t>
      </w:r>
    </w:p>
    <w:p>
      <w:pPr>
        <w:pStyle w:val="BodyText"/>
      </w:pPr>
      <w:r>
        <w:t xml:space="preserve">The alternative family is the single-fold comparison it appears to be. The only check that separates the</w:t>
      </w:r>
      <w:r>
        <w:t xml:space="preserve"> </w:t>
      </w:r>
      <w:r>
        <w:t xml:space="preserve">two arms fails on the alternative family because of a first-epoch instability, and every other difference</w:t>
      </w:r>
      <w:r>
        <w:t xml:space="preserve"> </w:t>
      </w:r>
      <w:r>
        <w:t xml:space="preserve">measured sits inside the seed-alone noise floor described in §5.4. One documentation defect is disclosed</w:t>
      </w:r>
      <w:r>
        <w:t xml:space="preserve"> </w:t>
      </w:r>
      <w:r>
        <w:t xml:space="preserve">rather than corrected: the comparison table in the training record labels the primary column with the</w:t>
      </w:r>
      <w:r>
        <w:t xml:space="preserve"> </w:t>
      </w:r>
      <w:r>
        <w:t xml:space="preserve">wrong family name, while the manifest and the run configuration identify the backbone correctly. The</w:t>
      </w:r>
      <w:r>
        <w:t xml:space="preserve"> </w:t>
      </w:r>
      <w:r>
        <w:t xml:space="preserve">discrepancy is printed as found.</w:t>
      </w:r>
    </w:p>
    <w:bookmarkEnd w:id="87"/>
    <w:bookmarkStart w:id="91" w:name="Xede0950f3428007db2ca279954909ab8f16da58"/>
    <w:p>
      <w:pPr>
        <w:pStyle w:val="Heading3"/>
      </w:pPr>
      <w:r>
        <w:t xml:space="preserve">5.4 Where the failure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 all</w:t>
      </w:r>
      <w:r>
        <w:t xml:space="preserve"> </w:t>
      </w:r>
      <w:r>
        <w:t xml:space="preserve">three folds, with coefficients of determination of 0.8455, 0.9808 and 0.9836 against a floor of 0.80.</w:t>
      </w:r>
      <w:r>
        <w:t xml:space="preserve"> </w:t>
      </w:r>
      <w:r>
        <w:t xml:space="preserve">Amplitude fails in all three, with pooled slopes of 0.2666, 0.4612 and 0.3785 against a floor of 0.80.</w:t>
      </w:r>
    </w:p>
    <w:p>
      <w:pPr>
        <w:pStyle w:val="BodyText"/>
      </w:pPr>
      <w:r>
        <w:t xml:space="preserve">For the reported 7-billion-parameter model, only the amplitude arm was recomputed. Its pooled slopes are</w:t>
      </w:r>
      <w:r>
        <w:t xml:space="preserve"> </w:t>
      </w:r>
      <w:r>
        <w:t xml:space="preserve">0.4153, 0.5329 and 0.4049, scored against the same floor of 0.80, and the check fails in all three folds.</w:t>
      </w:r>
      <w:r>
        <w:t xml:space="preserve"> </w:t>
      </w:r>
      <w:r>
        <w:t xml:space="preserve">The steering arm was never recomputed on the reported model.</w:t>
      </w:r>
    </w:p>
    <w:p>
      <w:pPr>
        <w:pStyle w:val="BodyText"/>
      </w:pPr>
      <w:r>
        <w:t xml:space="preserve">This limitation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pilot arm. On the reported</w:t>
      </w:r>
      <w:r>
        <w:t xml:space="preserve"> </w:t>
      </w:r>
      <w:r>
        <w:t xml:space="preserve">model, what is measured is the amplitude half: the response is roughly half the required strength in all</w:t>
      </w:r>
      <w:r>
        <w:t xml:space="preserve"> </w:t>
      </w:r>
      <w:r>
        <w:t xml:space="preserve">three folds. The steering half is inherited from a smaller model trained under the same recipe, and it is</w:t>
      </w:r>
      <w:r>
        <w:t xml:space="preserve"> </w:t>
      </w:r>
      <w:r>
        <w:t xml:space="preserve">reported here as inherited rather than as measured on the model the paper reports. Recomputing it is a</w:t>
      </w:r>
      <w:r>
        <w:t xml:space="preserve"> </w:t>
      </w:r>
      <w:r>
        <w:t xml:space="preserve">one-run correction and it is named in §7.10 among the unfinished items rather than presented as done.</w:t>
      </w:r>
      <w:r>
        <w:t xml:space="preserve"> </w:t>
      </w:r>
      <w:r>
        <w:t xml:space="preserve">Figure 4 shows the response curves and the fitted slopes together, with both qualifiers marked on the</w:t>
      </w:r>
      <w:r>
        <w:t xml:space="preserve"> </w:t>
      </w:r>
      <w:r>
        <w:t xml:space="preserve">figure itself.</w:t>
      </w:r>
    </w:p>
    <w:p>
      <w:pPr>
        <w:pStyle w:val="CaptionedFigure"/>
      </w:pPr>
      <w:r>
        <w:drawing>
          <wp:inline>
            <wp:extent cx="5334000" cy="3200400"/>
            <wp:effectExtent b="0" l="0" r="0" t="0"/>
            <wp:docPr descr="Figure 4" title="" id="89" name="Picture"/>
            <a:graphic>
              <a:graphicData uri="http://schemas.openxmlformats.org/drawingml/2006/picture">
                <pic:pic>
                  <pic:nvPicPr>
                    <pic:cNvPr descr="figures/Figure_04_amplitude_slope.png" id="90" name="Picture"/>
                    <pic:cNvPicPr>
                      <a:picLocks noChangeArrowheads="1" noChangeAspect="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 The fictional-country control, reported model. Left: distance to a conditioning vector</w:t>
      </w:r>
      <w:r>
        <w:t xml:space="preserve"> </w:t>
      </w:r>
      <w:r>
        <w:t xml:space="preserve">for a country the model has never seen, at five levels of an exponential tilt, one line per fold; the</w:t>
      </w:r>
      <w:r>
        <w:t xml:space="preserve"> </w:t>
      </w:r>
      <w:r>
        <w:t xml:space="preserve">output moves with the conditioning in every fold and the Italian fold turns back up at the highest</w:t>
      </w:r>
      <w:r>
        <w:t xml:space="preserve"> </w:t>
      </w:r>
      <w:r>
        <w:t xml:space="preserve">level. Right: the fitted pooled slopes against the floor of 0.80 registered before training; the check</w:t>
      </w:r>
      <w:r>
        <w:t xml:space="preserve"> </w:t>
      </w:r>
      <w:r>
        <w:t xml:space="preserve">fails in all three folds. The direction arm of this control was measured on the smaller pilot model and</w:t>
      </w:r>
      <w:r>
        <w:t xml:space="preserve"> </w:t>
      </w:r>
      <w:r>
        <w:t xml:space="preserve">is reported as inherited rather than as measured on the model reported here, and the slopes shown are</w:t>
      </w:r>
      <w:r>
        <w:t xml:space="preserve"> </w:t>
      </w:r>
      <w:r>
        <w:t xml:space="preserve">computed on six conditioning channels rather than the five the registered definition names.</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91"/>
    <w:bookmarkStart w:id="95" w:name="X179da11329d6eea745caa2c57f591ac37333a62"/>
    <w:p>
      <w:pPr>
        <w:pStyle w:val="Heading3"/>
      </w:pPr>
      <w:r>
        <w:t xml:space="preserve">5.5 Joint structure, and what the older lineage does on the same test</w:t>
      </w:r>
    </w:p>
    <w:p>
      <w:pPr>
        <w:pStyle w:val="FirstParagraph"/>
      </w:pPr>
      <w:r>
        <w:rPr>
          <w:b/>
          <w:bCs/>
        </w:rPr>
        <w:t xml:space="preserve">Table 8.</w:t>
      </w:r>
      <w:r>
        <w:t xml:space="preserve"> </w:t>
      </w:r>
      <w:r>
        <w:t xml:space="preserve">- Joint structure never present in the prompt, reported model, all three folds.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Quantity</w:t>
            </w:r>
          </w:p>
        </w:tc>
        <w:tc>
          <w:tcPr/>
          <w:p>
            <w:pPr>
              <w:spacing w:after="0" w:line="240" w:lineRule="auto"/>
              <w:pStyle w:val="Compact"/>
            </w:pPr>
            <w:r>
              <w:rPr>
                <w:sz w:val="20"/>
                <w:szCs w:val="20"/>
              </w:rPr>
              <w:t xml:space="preserve">Band</w:t>
            </w:r>
          </w:p>
        </w:tc>
        <w:tc>
          <w:tcPr/>
          <w:p>
            <w:pPr>
              <w:spacing w:after="0" w:line="240" w:lineRule="auto"/>
              <w:pStyle w:val="Compact"/>
            </w:pPr>
            <w:r>
              <w:rPr>
                <w:sz w:val="20"/>
                <w:szCs w:val="20"/>
              </w:rPr>
              <w:t xml:space="preserve">Measured</w:t>
            </w:r>
          </w:p>
        </w:tc>
        <w:tc>
          <w:tcPr/>
          <w:p>
            <w:pPr>
              <w:spacing w:after="0" w:line="240" w:lineRule="auto"/>
              <w:pStyle w:val="Compact"/>
            </w:pPr>
            <w:r>
              <w:rPr>
                <w:sz w:val="20"/>
                <w:szCs w:val="20"/>
              </w:rPr>
              <w:t xml:space="preserve">Multiple of band</w:t>
            </w:r>
          </w:p>
        </w:tc>
      </w:tr>
      <w:tr>
        <w:tc>
          <w:tcPr/>
          <w:p>
            <w:pPr>
              <w:spacing w:after="0" w:line="240" w:lineRule="auto"/>
              <w:pStyle w:val="Compact"/>
            </w:pPr>
            <w:r>
              <w:rPr>
                <w:sz w:val="20"/>
                <w:szCs w:val="20"/>
              </w:rPr>
              <w:t xml:space="preserve">Dwell-time Wasserstein distance</w:t>
            </w:r>
          </w:p>
        </w:tc>
        <w:tc>
          <w:tcPr/>
          <w:p>
            <w:pPr>
              <w:spacing w:after="0" w:line="240" w:lineRule="auto"/>
              <w:pStyle w:val="Compact"/>
            </w:pPr>
            <w:r>
              <w:rPr>
                <w:sz w:val="20"/>
                <w:szCs w:val="20"/>
              </w:rPr>
              <w:t xml:space="preserve">10.0 min</w:t>
            </w:r>
          </w:p>
        </w:tc>
        <w:tc>
          <w:tcPr/>
          <w:p>
            <w:pPr>
              <w:spacing w:after="0" w:line="240" w:lineRule="auto"/>
              <w:pStyle w:val="Compact"/>
            </w:pPr>
            <w:r>
              <w:rPr>
                <w:sz w:val="20"/>
                <w:szCs w:val="20"/>
              </w:rPr>
              <w:t xml:space="preserve">50.13 to 66.57</w:t>
            </w:r>
          </w:p>
        </w:tc>
        <w:tc>
          <w:tcPr/>
          <w:p>
            <w:pPr>
              <w:spacing w:after="0" w:line="240" w:lineRule="auto"/>
              <w:pStyle w:val="Compact"/>
            </w:pPr>
            <w:r>
              <w:rPr>
                <w:sz w:val="20"/>
                <w:szCs w:val="20"/>
              </w:rPr>
              <w:t xml:space="preserve">5.0 to 6.7</w:t>
            </w:r>
          </w:p>
        </w:tc>
      </w:tr>
      <w:tr>
        <w:tc>
          <w:tcPr/>
          <w:p>
            <w:pPr>
              <w:spacing w:after="0" w:line="240" w:lineRule="auto"/>
              <w:pStyle w:val="Compact"/>
            </w:pPr>
            <w:r>
              <w:rPr>
                <w:sz w:val="20"/>
                <w:szCs w:val="20"/>
              </w:rPr>
              <w:t xml:space="preserve">Transition-matrix total variation</w:t>
            </w:r>
          </w:p>
        </w:tc>
        <w:tc>
          <w:tcPr/>
          <w:p>
            <w:pPr>
              <w:spacing w:after="0" w:line="240" w:lineRule="auto"/>
              <w:pStyle w:val="Compact"/>
            </w:pPr>
            <w:r>
              <w:rPr>
                <w:sz w:val="20"/>
                <w:szCs w:val="20"/>
              </w:rPr>
              <w:t xml:space="preserve">0.050</w:t>
            </w:r>
          </w:p>
        </w:tc>
        <w:tc>
          <w:tcPr/>
          <w:p>
            <w:pPr>
              <w:spacing w:after="0" w:line="240" w:lineRule="auto"/>
              <w:pStyle w:val="Compact"/>
            </w:pPr>
            <w:r>
              <w:rPr>
                <w:sz w:val="20"/>
                <w:szCs w:val="20"/>
              </w:rPr>
              <w:t xml:space="preserve">0.1623 to 0.2344</w:t>
            </w:r>
          </w:p>
        </w:tc>
        <w:tc>
          <w:tcPr/>
          <w:p>
            <w:pPr>
              <w:spacing w:after="0" w:line="240" w:lineRule="auto"/>
              <w:pStyle w:val="Compact"/>
            </w:pPr>
            <w:r>
              <w:rPr>
                <w:sz w:val="20"/>
                <w:szCs w:val="20"/>
              </w:rPr>
              <w:t xml:space="preserve">3.3 to 4.7</w:t>
            </w:r>
          </w:p>
        </w:tc>
      </w:tr>
      <w:tr>
        <w:tc>
          <w:tcPr/>
          <w:p>
            <w:pPr>
              <w:spacing w:after="0" w:line="240" w:lineRule="auto"/>
              <w:pStyle w:val="Compact"/>
            </w:pPr>
            <w:r>
              <w:rPr>
                <w:sz w:val="20"/>
                <w:szCs w:val="20"/>
              </w:rPr>
              <w:t xml:space="preserve">Diurnal Jensen-Shannon divergence</w:t>
            </w:r>
          </w:p>
        </w:tc>
        <w:tc>
          <w:tcPr/>
          <w:p>
            <w:pPr>
              <w:spacing w:after="0" w:line="240" w:lineRule="auto"/>
              <w:pStyle w:val="Compact"/>
            </w:pPr>
            <w:r>
              <w:rPr>
                <w:sz w:val="20"/>
                <w:szCs w:val="20"/>
              </w:rPr>
              <w:t xml:space="preserve">0.015</w:t>
            </w:r>
          </w:p>
        </w:tc>
        <w:tc>
          <w:tcPr/>
          <w:p>
            <w:pPr>
              <w:spacing w:after="0" w:line="240" w:lineRule="auto"/>
              <w:pStyle w:val="Compact"/>
            </w:pPr>
            <w:r>
              <w:rPr>
                <w:sz w:val="20"/>
                <w:szCs w:val="20"/>
              </w:rPr>
              <w:t xml:space="preserve">0.0690 to 0.1189</w:t>
            </w:r>
          </w:p>
        </w:tc>
        <w:tc>
          <w:tcPr/>
          <w:p>
            <w:pPr>
              <w:spacing w:after="0" w:line="240" w:lineRule="auto"/>
              <w:pStyle w:val="Compact"/>
            </w:pPr>
            <w:r>
              <w:rPr>
                <w:sz w:val="20"/>
                <w:szCs w:val="20"/>
              </w:rPr>
              <w:t xml:space="preserve">4.6 to 7.9</w:t>
            </w:r>
          </w:p>
        </w:tc>
      </w:tr>
      <w:tr>
        <w:tc>
          <w:tcPr/>
          <w:p>
            <w:pPr>
              <w:spacing w:after="0" w:line="240" w:lineRule="auto"/>
              <w:pStyle w:val="Compact"/>
            </w:pPr>
            <w:r>
              <w:rPr>
                <w:sz w:val="20"/>
                <w:szCs w:val="20"/>
              </w:rPr>
              <w:t xml:space="preserve">Time-budget error</w:t>
            </w:r>
          </w:p>
        </w:tc>
        <w:tc>
          <w:tcPr/>
          <w:p>
            <w:pPr>
              <w:spacing w:after="0" w:line="240" w:lineRule="auto"/>
              <w:pStyle w:val="Compact"/>
            </w:pPr>
            <w:r>
              <w:rPr>
                <w:sz w:val="20"/>
                <w:szCs w:val="20"/>
              </w:rPr>
              <w:t xml:space="preserve">8.0 min</w:t>
            </w:r>
          </w:p>
        </w:tc>
        <w:tc>
          <w:tcPr/>
          <w:p>
            <w:pPr>
              <w:spacing w:after="0" w:line="240" w:lineRule="auto"/>
              <w:pStyle w:val="Compact"/>
            </w:pPr>
            <w:r>
              <w:rPr>
                <w:sz w:val="20"/>
                <w:szCs w:val="20"/>
              </w:rPr>
              <w:t xml:space="preserve">38.26 to 68.67</w:t>
            </w:r>
          </w:p>
        </w:tc>
        <w:tc>
          <w:tcPr/>
          <w:p>
            <w:pPr>
              <w:spacing w:after="0" w:line="240" w:lineRule="auto"/>
              <w:pStyle w:val="Compact"/>
            </w:pPr>
            <w:r>
              <w:rPr>
                <w:sz w:val="20"/>
                <w:szCs w:val="20"/>
              </w:rPr>
              <w:t xml:space="preserve">4.8 to 8.6</w:t>
            </w:r>
          </w:p>
        </w:tc>
      </w:tr>
    </w:tbl>
    <w:p>
      <w:pPr>
        <w:pStyle w:val="BodyText"/>
      </w:pPr>
      <w:r>
        <w:t xml:space="preserve">Verdicts are identical under the calendar-re-based weights and unweighted, so the failure is not an</w:t>
      </w:r>
      <w:r>
        <w:t xml:space="preserve"> </w:t>
      </w:r>
      <w:r>
        <w:t xml:space="preserve">artefact of the weighting correction described in §2.1. Figure 5 places the four quantities on one</w:t>
      </w:r>
      <w:r>
        <w:t xml:space="preserve"> </w:t>
      </w:r>
      <w:r>
        <w:t xml:space="preserve">scale, as multiples of their registered bands.</w:t>
      </w:r>
    </w:p>
    <w:p>
      <w:pPr>
        <w:pStyle w:val="CaptionedFigure"/>
      </w:pPr>
      <w:r>
        <w:drawing>
          <wp:inline>
            <wp:extent cx="5334000" cy="3111500"/>
            <wp:effectExtent b="0" l="0" r="0" t="0"/>
            <wp:docPr descr="Figure 5" title="" id="93" name="Picture"/>
            <a:graphic>
              <a:graphicData uri="http://schemas.openxmlformats.org/drawingml/2006/picture">
                <pic:pic>
                  <pic:nvPicPr>
                    <pic:cNvPr descr="figures/Figure_05_joint_structure.png" id="94" name="Picture"/>
                    <pic:cNvPicPr>
                      <a:picLocks noChangeArrowheads="1" noChangeAspect="1"/>
                    </pic:cNvPicPr>
                  </pic:nvPicPr>
                  <pic:blipFill>
                    <a:blip r:embed="rId92"/>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 Four structural properties of the generated diaries that were never present in the</w:t>
      </w:r>
      <w:r>
        <w:t xml:space="preserve"> </w:t>
      </w:r>
      <w:r>
        <w:t xml:space="preserve">conditioning prompt, each expressed as a multiple of the band registered before training. Bars span the</w:t>
      </w:r>
      <w:r>
        <w:t xml:space="preserve"> </w:t>
      </w:r>
      <w:r>
        <w:t xml:space="preserve">range across the three folds. All four fail in every fold, at between three and nine times their band,</w:t>
      </w:r>
      <w:r>
        <w:t xml:space="preserve"> </w:t>
      </w:r>
      <w:r>
        <w:t xml:space="preserve">and the verdicts are unchanged under both weighting bases. Values are those of Table 8.</w:t>
      </w:r>
    </w:p>
    <w:p>
      <w:pPr>
        <w:pStyle w:val="BodyText"/>
      </w:pPr>
      <w:r>
        <w:t xml:space="preserve">One methodological point governs how the per-cell version of this table is read. Absolute population-level</w:t>
      </w:r>
      <w:r>
        <w:t xml:space="preserve"> </w:t>
      </w:r>
      <w:r>
        <w:t xml:space="preserve">bands are not evaluable cell by cell: a second real Italian sample fails 65 of 68 attribute-pair cells</w:t>
      </w:r>
      <w:r>
        <w:t xml:space="preserve"> </w:t>
      </w:r>
      <w:r>
        <w:t xml:space="preserve">against them. The per-cell verdict is therefore a sample-size-matched real-against-real bootstrap</w:t>
      </w:r>
      <w:r>
        <w:t xml:space="preserve"> </w:t>
      </w:r>
      <w:r>
        <w:t xml:space="preserve">comparison rather than an absolute band, which is what allows a generated cell to be judged against what</w:t>
      </w:r>
      <w:r>
        <w:t xml:space="preserve"> </w:t>
      </w:r>
      <w:r>
        <w:t xml:space="preserve">two real samples of the same size do to each other.</w:t>
      </w:r>
    </w:p>
    <w:p>
      <w:pPr>
        <w:pStyle w:val="BodyText"/>
      </w:pPr>
      <w:r>
        <w:t xml:space="preserve">The comparator from the older lineage is informative precisely because it fails differently. A first-order</w:t>
      </w:r>
      <w:r>
        <w:t xml:space="preserve"> </w:t>
      </w:r>
      <w:r>
        <w:t xml:space="preserve">inhomogeneous Markov chain, fitted on the same two training countries and scored on the held-out one,</w:t>
      </w:r>
      <w:r>
        <w:t xml:space="preserve"> </w:t>
      </w:r>
      <w:r>
        <w:t xml:space="preserve">reproduces the transition rate almost exactly, at 0.264 transitions per day against a band of 1.50, and</w:t>
      </w:r>
      <w:r>
        <w:t xml:space="preserve"> </w:t>
      </w:r>
      <w:r>
        <w:t xml:space="preserve">misses the dwell-time distribution by an order of magnitude, at 119.6 minutes against a band of 10.0.</w:t>
      </w:r>
      <w:r>
        <w:t xml:space="preserve"> </w:t>
      </w:r>
      <w:r>
        <w:t xml:space="preserve">Matching a rate while missing the distribution is the characteristic first-order failure. It is the</w:t>
      </w:r>
      <w:r>
        <w:t xml:space="preserve"> </w:t>
      </w:r>
      <w:r>
        <w:t xml:space="preserve">clearest single argument for scoring dwell times rather than occupancy shares, and it is why the</w:t>
      </w:r>
      <w:r>
        <w:t xml:space="preserve"> </w:t>
      </w:r>
      <w:r>
        <w:t xml:space="preserve">dwell-time result above is reported ahead of the budget result.</w:t>
      </w:r>
    </w:p>
    <w:bookmarkEnd w:id="95"/>
    <w:bookmarkStart w:id="9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fails, one passes, one passes, and one</w:t>
      </w:r>
      <w:r>
        <w:t xml:space="preserve"> </w:t>
      </w:r>
      <w:r>
        <w:t xml:space="preserve">splits two to one.</w:t>
      </w:r>
    </w:p>
    <w:p>
      <w:pPr>
        <w:pStyle w:val="BodyText"/>
      </w:pPr>
      <w:r>
        <w:t xml:space="preserve">The loss-based membership-inference attack returns an area under the curve of 0.6645 against a registered</w:t>
      </w:r>
      <w:r>
        <w:t xml:space="preserve"> </w:t>
      </w:r>
      <w:r>
        <w:t xml:space="preserve">ceiling of 0.65, 1.70 standard deviations over the bar. The untuned-base floor on the same construction is</w:t>
      </w:r>
      <w:r>
        <w:t xml:space="preserve"> </w:t>
      </w:r>
      <w:r>
        <w:t xml:space="preserve">0.4886, essentially chance, which is what makes 0.6645 readable as membership signal rather than as a</w:t>
      </w:r>
      <w:r>
        <w:t xml:space="preserve"> </w:t>
      </w:r>
      <w:r>
        <w:t xml:space="preserve">split artefact. The reference-based attack passes at 0.5594 against a ceiling of 0.75. Prefix-prompted</w:t>
      </w:r>
      <w:r>
        <w:t xml:space="preserve"> </w:t>
      </w:r>
      <w:r>
        <w:t xml:space="preserve">extraction on rare strata passes with zero exact matches in 103 attempts. The distance-to-closest-record</w:t>
      </w:r>
      <w:r>
        <w:t xml:space="preserve"> </w:t>
      </w:r>
      <w:r>
        <w:t xml:space="preserve">check passes on Spain and Italy and fails on Britain, where the test-set median distance of 0.4236 sits</w:t>
      </w:r>
      <w:r>
        <w:t xml:space="preserve"> </w:t>
      </w:r>
      <w:r>
        <w:t xml:space="preserve">above the size-matched training interval 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 failures and</w:t>
      </w:r>
      <w:r>
        <w:t xml:space="preserve"> </w:t>
      </w:r>
      <w:r>
        <w:t xml:space="preserve">one partial. The perplexity-gap control, which also fails at 0.0570 against a ceiling of 0.05, is not</w:t>
      </w:r>
      <w:r>
        <w:t xml:space="preserve"> </w:t>
      </w:r>
      <w:r>
        <w:t xml:space="preserve">independent confirmation, because it fails at 0.0511 on a randomly permuted adapter as well, and therefore</w:t>
      </w:r>
      <w:r>
        <w:t xml:space="preserve"> </w:t>
      </w:r>
      <w:r>
        <w:t xml:space="preserve">measures overfit to the language of diaries rather than membership. And the memorisation-ceiling control</w:t>
      </w:r>
      <w:r>
        <w:t xml:space="preserve"> </w:t>
      </w:r>
      <w:r>
        <w:t xml:space="preserve">is inconclusive as a ceiling: on the reported model it scores 0.6496, only 0.0149 below the reported</w:t>
      </w:r>
      <w:r>
        <w:t xml:space="preserve"> </w:t>
      </w:r>
      <w:r>
        <w:t xml:space="preserve">attack, having moved by 0.102 when capacity increased, so it does not bound what it was built to bound. It</w:t>
      </w:r>
      <w:r>
        <w:t xml:space="preserve"> </w:t>
      </w:r>
      <w:r>
        <w:t xml:space="preserve">changes the wording of this section and it does not gate the release, which rests on the registered</w:t>
      </w:r>
      <w:r>
        <w:t xml:space="preserve"> </w:t>
      </w:r>
      <w:r>
        <w:t xml:space="preserve">failure above.</w:t>
      </w:r>
    </w:p>
    <w:bookmarkEnd w:id="96"/>
    <w:bookmarkStart w:id="9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parity sample size the decoding-neutrality check fails in all three folds, with the worst</w:t>
      </w:r>
      <w:r>
        <w:t xml:space="preserve"> </w:t>
      </w:r>
      <w:r>
        <w:t xml:space="preserve">stratum off by 101.02, 29.60 and 48.87 minutes per day against a band of plus or minus 5.0. No claim in</w:t>
      </w:r>
      <w:r>
        <w:t xml:space="preserve"> </w:t>
      </w:r>
      <w:r>
        <w:t xml:space="preserve">this paper is stated in a form that would survive only under an assumption that constrained decoding is</w:t>
      </w:r>
      <w:r>
        <w:t xml:space="preserve"> </w:t>
      </w:r>
      <w:r>
        <w:t xml:space="preserve">neutral.</w:t>
      </w:r>
    </w:p>
    <w:bookmarkEnd w:id="97"/>
    <w:bookmarkStart w:id="101" w:name="Xbf1149edcbdad388c512194cd4d9bd8e1fa5245"/>
    <w:p>
      <w:pPr>
        <w:pStyle w:val="Heading3"/>
      </w:pPr>
      <w:r>
        <w:t xml:space="preserve">5.8 One appliance model, three diaries, peaks six hours apart</w:t>
      </w:r>
    </w:p>
    <w:p>
      <w:pPr>
        <w:pStyle w:val="FirstParagraph"/>
      </w:pPr>
      <w:r>
        <w:rPr>
          <w:b/>
          <w:bCs/>
        </w:rPr>
        <w:t xml:space="preserve">Table 9.</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Fold</w:t>
            </w:r>
          </w:p>
        </w:tc>
        <w:tc>
          <w:tcPr/>
          <w:p>
            <w:pPr>
              <w:spacing w:after="0" w:line="240" w:lineRule="auto"/>
              <w:pStyle w:val="Compact"/>
            </w:pPr>
            <w:r>
              <w:rPr>
                <w:sz w:val="20"/>
                <w:szCs w:val="20"/>
              </w:rPr>
              <w:t xml:space="preserve">Peak hour</w:t>
            </w:r>
          </w:p>
        </w:tc>
        <w:tc>
          <w:tcPr/>
          <w:p>
            <w:pPr>
              <w:spacing w:after="0" w:line="240" w:lineRule="auto"/>
              <w:pStyle w:val="Compact"/>
            </w:pPr>
            <w:r>
              <w:rPr>
                <w:sz w:val="20"/>
                <w:szCs w:val="20"/>
              </w:rPr>
              <w:t xml:space="preserve">Peak power</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14:00</w:t>
            </w:r>
          </w:p>
        </w:tc>
        <w:tc>
          <w:tcPr/>
          <w:p>
            <w:pPr>
              <w:spacing w:after="0" w:line="240" w:lineRule="auto"/>
              <w:pStyle w:val="Compact"/>
            </w:pPr>
            <w:r>
              <w:rPr>
                <w:sz w:val="20"/>
                <w:szCs w:val="20"/>
              </w:rPr>
              <w:t xml:space="preserve">503 W</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18:00</w:t>
            </w:r>
          </w:p>
        </w:tc>
        <w:tc>
          <w:tcPr/>
          <w:p>
            <w:pPr>
              <w:spacing w:after="0" w:line="240" w:lineRule="auto"/>
              <w:pStyle w:val="Compact"/>
            </w:pPr>
            <w:r>
              <w:rPr>
                <w:sz w:val="20"/>
                <w:szCs w:val="20"/>
              </w:rPr>
              <w:t xml:space="preserve">404 W</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20:00</w:t>
            </w:r>
          </w:p>
        </w:tc>
        <w:tc>
          <w:tcPr/>
          <w:p>
            <w:pPr>
              <w:spacing w:after="0" w:line="240" w:lineRule="auto"/>
              <w:pStyle w:val="Compact"/>
            </w:pPr>
            <w:r>
              <w:rPr>
                <w:sz w:val="20"/>
                <w:szCs w:val="20"/>
              </w:rPr>
              <w:t xml:space="preserve">416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 Figure 6 shows the three diurnal profiles that the peaks in Table 9 are taken from.</w:t>
      </w:r>
    </w:p>
    <w:p>
      <w:pPr>
        <w:pStyle w:val="CaptionedFigure"/>
      </w:pPr>
      <w:r>
        <w:drawing>
          <wp:inline>
            <wp:extent cx="5334000" cy="3200400"/>
            <wp:effectExtent b="0" l="0" r="0" t="0"/>
            <wp:docPr descr="Figure 6" title="" id="99" name="Picture"/>
            <a:graphic>
              <a:graphicData uri="http://schemas.openxmlformats.org/drawingml/2006/picture">
                <pic:pic>
                  <pic:nvPicPr>
                    <pic:cNvPr descr="figures/Figure_06_appliance_peaks.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 Mean appliance electricity per dwelling by hour of day, one line per fold, from a single</w:t>
      </w:r>
      <w:r>
        <w:t xml:space="preserve"> </w:t>
      </w:r>
      <w:r>
        <w:t xml:space="preserve">appliance model with one set of published parameters, one calibration and one trigger rule. The only</w:t>
      </w:r>
      <w:r>
        <w:t xml:space="preserve"> </w:t>
      </w:r>
      <w:r>
        <w:t xml:space="preserve">input that differs between the three curves is the diary. The peak falls at 14:00 in Spain, 18:00 in</w:t>
      </w:r>
      <w:r>
        <w:t xml:space="preserve"> </w:t>
      </w:r>
      <w:r>
        <w:t xml:space="preserve">Italy and 20:00 in Britain, a six-hour spread. This is a shape and timing result, not an accuracy</w:t>
      </w:r>
      <w:r>
        <w:t xml:space="preserve"> </w:t>
      </w:r>
      <w:r>
        <w:t xml:space="preserve">claim, and it is not reported for any individual dwelling.</w:t>
      </w:r>
    </w:p>
    <w:p>
      <w:pPr>
        <w:pStyle w:val="BodyText"/>
      </w:pPr>
      <w:r>
        <w:t xml:space="preserve">The same numbers, scored against a published reference load shape, are a failing check, and both readings</w:t>
      </w:r>
      <w:r>
        <w:t xml:space="preserve"> </w:t>
      </w:r>
      <w:r>
        <w:t xml:space="preserve">appear here because they are one measurement. The reference profile is British and was assembled around</w:t>
      </w:r>
      <w:r>
        <w:t xml:space="preserve"> </w:t>
      </w:r>
      <w:r>
        <w:t xml:space="preserve">the year 2000; a Spanish stock load shape built from Spanish diaries is supposed to disagree with it. The</w:t>
      </w:r>
      <w:r>
        <w:t xml:space="preserve"> </w:t>
      </w:r>
      <w:r>
        <w:t xml:space="preserve">check fails and the band was not moved.</w:t>
      </w:r>
    </w:p>
    <w:bookmarkEnd w:id="101"/>
    <w:bookmarkStart w:id="102" w:name="one-mechanism-behind-four-failing-checks"/>
    <w:p>
      <w:pPr>
        <w:pStyle w:val="Heading3"/>
      </w:pPr>
      <w:r>
        <w:t xml:space="preserve">5.9 One mechanism behind four failing checks</w:t>
      </w:r>
    </w:p>
    <w:p>
      <w:pPr>
        <w:pStyle w:val="FirstParagraph"/>
      </w:pPr>
      <w:r>
        <w:t xml:space="preserve">Four failing checks across two stages are one mechanism, not four defects, and reporting them separately</w:t>
      </w:r>
      <w:r>
        <w:t xml:space="preserve"> </w:t>
      </w:r>
      <w:r>
        <w:t xml:space="preserve">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that the reference washing machine’s published cycle</w:t>
      </w:r>
      <w:r>
        <w:t xml:space="preserve"> </w:t>
      </w:r>
      <w:r>
        <w:t xml:space="preserve">count requires, giving modelled-to-published ratios of 0.776, 0.179 and 0.092.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failing the same way is evidence that the measurement is real rather than a</w:t>
      </w:r>
      <w:r>
        <w:t xml:space="preserve"> </w:t>
      </w:r>
      <w:r>
        <w:t xml:space="preserve">small-sample artefact. No band was moved at either scale, and the stock-scale check was deliberately not</w:t>
      </w:r>
      <w:r>
        <w:t xml:space="preserve"> </w:t>
      </w:r>
      <w:r>
        <w:t xml:space="preserve">reclassified as informational, because it is a genuine shape correlation that could have passed had the</w:t>
      </w:r>
      <w:r>
        <w:t xml:space="preserve"> </w:t>
      </w:r>
      <w:r>
        <w:t xml:space="preserve">shape matched.</w:t>
      </w:r>
    </w:p>
    <w:p>
      <w:pPr>
        <w:pStyle w:val="BodyText"/>
      </w:pPr>
      <w:r>
        <w:t xml:space="preserve">One fact prevents a misreading and is printed alongside. The generated diaries do carry a secondary</w:t>
      </w:r>
      <w:r>
        <w:t xml:space="preserve"> </w:t>
      </w:r>
      <w:r>
        <w:t xml:space="preserve">activity field, on 29.816 per cent of episodes and 26.308 per cent of modelled minutes across 29 codes.</w:t>
      </w:r>
      <w:r>
        <w:t xml:space="preserve"> </w:t>
      </w:r>
      <w:r>
        <w:t xml:space="preserve">The information is present and deliberately unused; the ruling rests on its calibration precondition</w:t>
      </w:r>
      <w:r>
        <w:t xml:space="preserve"> </w:t>
      </w:r>
      <w:r>
        <w:t xml:space="preserve">being unsatisfiable, not on the field being absent.</w:t>
      </w:r>
    </w:p>
    <w:bookmarkEnd w:id="102"/>
    <w:bookmarkStart w:id="103"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failing by factors of two to four. Reading the source rather than</w:t>
      </w:r>
      <w:r>
        <w:t xml:space="preserve"> </w:t>
      </w:r>
      <w:r>
        <w:t xml:space="preserve">re-measuring the model established three things. The band was never the modelling source’s: that source</w:t>
      </w:r>
      <w:r>
        <w:t xml:space="preserve"> </w:t>
      </w:r>
      <w:r>
        <w:t xml:space="preserve">publishes 200 litres per day per dwelling at a 35 kelvin rise, with no per-person figure and no 60 degree</w:t>
      </w:r>
      <w:r>
        <w:t xml:space="preserve"> </w:t>
      </w:r>
      <w:r>
        <w:t xml:space="preserve">reference. The band traces instead to a review paper, compressed into a single attribution in error. And</w:t>
      </w:r>
      <w:r>
        <w:t xml:space="preserve"> </w:t>
      </w:r>
      <w:r>
        <w:t xml:space="preserve">the scored quantity reduces to 200 divided by household size, to within 0.0005 over all 300 rows, so the</w:t>
      </w:r>
      <w:r>
        <w:t xml:space="preserve"> </w:t>
      </w:r>
      <w:r>
        <w:t xml:space="preserve">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model failure and never as a pass.</w:t>
      </w:r>
    </w:p>
    <w:p>
      <w:pPr>
        <w:pStyle w:val="BodyText"/>
      </w:pPr>
      <w:r>
        <w:t xml:space="preserve">Retiring it silently retired the mutation it detected, which is one of this study’s process lessons. A</w:t>
      </w:r>
      <w:r>
        <w:t xml:space="preserve"> </w:t>
      </w:r>
      <w:r>
        <w:t xml:space="preserve">replacement check scoring the stock mean per dwelling against the modelling source’s own 200 litres, plus</w:t>
      </w:r>
      <w:r>
        <w:t xml:space="preserve"> </w:t>
      </w:r>
      <w:r>
        <w:t xml:space="preserve">or minus ten per cent, was built and seen failing on deliberately doubled draws at about 401 litres before</w:t>
      </w:r>
      <w:r>
        <w:t xml:space="preserve"> </w:t>
      </w:r>
      <w:r>
        <w:t xml:space="preserve">being trusted. It passes at 200.79, 201.01 and 199.47, and at stock scale at 202.41 and 200.35. It is a</w:t>
      </w:r>
      <w:r>
        <w:t xml:space="preserve"> </w:t>
      </w:r>
      <w:r>
        <w:t xml:space="preserve">scale and regression arm, not an external validation, and is labelled as such.</w:t>
      </w:r>
    </w:p>
    <w:bookmarkEnd w:id="103"/>
    <w:bookmarkStart w:id="107"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p>
    <w:p>
      <w:pPr>
        <w:pStyle w:val="BodyText"/>
      </w:pPr>
      <w:r>
        <w:rPr>
          <w:b/>
          <w:bCs/>
        </w:rPr>
        <w:t xml:space="preserve">Table 10.</w:t>
      </w:r>
      <w:r>
        <w:t xml:space="preserve"> </w:t>
      </w:r>
      <w:r>
        <w:t xml:space="preserve">- Occupancy effect on heating, after correction, at the top of the sensitivity sweep.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p>
        </w:tc>
        <w:tc>
          <w:tcPr/>
          <w:p>
            <w:pPr>
              <w:spacing w:after="0" w:line="240" w:lineRule="auto"/>
              <w:pStyle w:val="Compact"/>
              <w:jc w:val="right"/>
            </w:pPr>
            <w:r>
              <w:rPr>
                <w:sz w:val="20"/>
                <w:szCs w:val="20"/>
              </w:rPr>
              <w:t xml:space="preserve">Spain</w:t>
            </w:r>
          </w:p>
        </w:tc>
        <w:tc>
          <w:tcPr/>
          <w:p>
            <w:pPr>
              <w:spacing w:after="0" w:line="240" w:lineRule="auto"/>
              <w:pStyle w:val="Compact"/>
              <w:jc w:val="right"/>
            </w:pPr>
            <w:r>
              <w:rPr>
                <w:sz w:val="20"/>
                <w:szCs w:val="20"/>
              </w:rPr>
              <w:t xml:space="preserve">Britain</w:t>
            </w:r>
          </w:p>
        </w:tc>
        <w:tc>
          <w:tcPr/>
          <w:p>
            <w:pPr>
              <w:spacing w:after="0" w:line="240" w:lineRule="auto"/>
              <w:pStyle w:val="Compact"/>
              <w:jc w:val="right"/>
            </w:pPr>
            <w:r>
              <w:rPr>
                <w:sz w:val="20"/>
                <w:szCs w:val="20"/>
              </w:rPr>
              <w:t xml:space="preserve">Italy</w:t>
            </w:r>
          </w:p>
        </w:tc>
      </w:tr>
      <w:tr>
        <w:tc>
          <w:tcPr/>
          <w:p>
            <w:pPr>
              <w:spacing w:after="0" w:line="240" w:lineRule="auto"/>
              <w:pStyle w:val="Compact"/>
            </w:pPr>
            <w:r>
              <w:rPr>
                <w:sz w:val="20"/>
                <w:szCs w:val="20"/>
              </w:rPr>
              <w:t xml:space="preserve">Peak effect</w:t>
            </w:r>
          </w:p>
        </w:tc>
        <w:tc>
          <w:tcPr/>
          <w:p>
            <w:pPr>
              <w:spacing w:after="0" w:line="240" w:lineRule="auto"/>
              <w:pStyle w:val="Compact"/>
              <w:jc w:val="right"/>
            </w:pPr>
            <w:r>
              <w:rPr>
                <w:sz w:val="20"/>
                <w:szCs w:val="20"/>
              </w:rPr>
              <w:t xml:space="preserve">+2.7145 %</w:t>
            </w:r>
          </w:p>
        </w:tc>
        <w:tc>
          <w:tcPr/>
          <w:p>
            <w:pPr>
              <w:spacing w:after="0" w:line="240" w:lineRule="auto"/>
              <w:pStyle w:val="Compact"/>
              <w:jc w:val="right"/>
            </w:pPr>
            <w:r>
              <w:rPr>
                <w:sz w:val="20"/>
                <w:szCs w:val="20"/>
              </w:rPr>
              <w:t xml:space="preserve">+0.0393 %</w:t>
            </w:r>
          </w:p>
        </w:tc>
        <w:tc>
          <w:tcPr/>
          <w:p>
            <w:pPr>
              <w:spacing w:after="0" w:line="240" w:lineRule="auto"/>
              <w:pStyle w:val="Compact"/>
              <w:jc w:val="right"/>
            </w:pPr>
            <w:r>
              <w:rPr>
                <w:sz w:val="20"/>
                <w:szCs w:val="20"/>
              </w:rPr>
              <w:t xml:space="preserve">-0.6332 %</w:t>
            </w:r>
          </w:p>
        </w:tc>
      </w:tr>
      <w:tr>
        <w:tc>
          <w:tcPr/>
          <w:p>
            <w:pPr>
              <w:spacing w:after="0" w:line="240" w:lineRule="auto"/>
              <w:pStyle w:val="Compact"/>
            </w:pPr>
            <w:r>
              <w:rPr>
                <w:sz w:val="20"/>
                <w:szCs w:val="20"/>
              </w:rPr>
              <w:t xml:space="preserve">Between-diary spread</w:t>
            </w:r>
          </w:p>
        </w:tc>
        <w:tc>
          <w:tcPr/>
          <w:p>
            <w:pPr>
              <w:spacing w:after="0" w:line="240" w:lineRule="auto"/>
              <w:pStyle w:val="Compact"/>
              <w:jc w:val="right"/>
            </w:pPr>
            <w:r>
              <w:rPr>
                <w:sz w:val="20"/>
                <w:szCs w:val="20"/>
              </w:rPr>
              <w:t xml:space="preserve">4.9837</w:t>
            </w:r>
          </w:p>
        </w:tc>
        <w:tc>
          <w:tcPr/>
          <w:p>
            <w:pPr>
              <w:spacing w:after="0" w:line="240" w:lineRule="auto"/>
              <w:pStyle w:val="Compact"/>
              <w:jc w:val="right"/>
            </w:pPr>
            <w:r>
              <w:rPr>
                <w:sz w:val="20"/>
                <w:szCs w:val="20"/>
              </w:rPr>
              <w:t xml:space="preserve">2.3797</w:t>
            </w:r>
          </w:p>
        </w:tc>
        <w:tc>
          <w:tcPr/>
          <w:p>
            <w:pPr>
              <w:spacing w:after="0" w:line="240" w:lineRule="auto"/>
              <w:pStyle w:val="Compact"/>
              <w:jc w:val="right"/>
            </w:pPr>
            <w:r>
              <w:rPr>
                <w:sz w:val="20"/>
                <w:szCs w:val="20"/>
              </w:rPr>
              <w:t xml:space="preserve">1.5959</w:t>
            </w:r>
          </w:p>
        </w:tc>
      </w:tr>
      <w:tr>
        <w:tc>
          <w:tcPr/>
          <w:p>
            <w:pPr>
              <w:spacing w:after="0" w:line="240" w:lineRule="auto"/>
              <w:pStyle w:val="Compact"/>
            </w:pPr>
            <w:r>
              <w:rPr>
                <w:sz w:val="20"/>
                <w:szCs w:val="20"/>
              </w:rPr>
              <w:t xml:space="preserve">Ratio of effect to spread</w:t>
            </w:r>
          </w:p>
        </w:tc>
        <w:tc>
          <w:tcPr/>
          <w:p>
            <w:pPr>
              <w:spacing w:after="0" w:line="240" w:lineRule="auto"/>
              <w:pStyle w:val="Compact"/>
              <w:jc w:val="right"/>
            </w:pPr>
            <w:r>
              <w:rPr>
                <w:sz w:val="20"/>
                <w:szCs w:val="20"/>
              </w:rPr>
              <w:t xml:space="preserve">0.54</w:t>
            </w:r>
          </w:p>
        </w:tc>
        <w:tc>
          <w:tcPr/>
          <w:p>
            <w:pPr>
              <w:spacing w:after="0" w:line="240" w:lineRule="auto"/>
              <w:pStyle w:val="Compact"/>
              <w:jc w:val="right"/>
            </w:pPr>
            <w:r>
              <w:rPr>
                <w:sz w:val="20"/>
                <w:szCs w:val="20"/>
              </w:rPr>
              <w:t xml:space="preserve">0.02</w:t>
            </w:r>
          </w:p>
        </w:tc>
        <w:tc>
          <w:tcPr/>
          <w:p>
            <w:pPr>
              <w:spacing w:after="0" w:line="240" w:lineRule="auto"/>
              <w:pStyle w:val="Compact"/>
              <w:jc w:val="right"/>
            </w:pPr>
            <w:r>
              <w:rPr>
                <w:sz w:val="20"/>
                <w:szCs w:val="20"/>
              </w:rPr>
              <w:t xml:space="preserve">0.40</w:t>
            </w:r>
          </w:p>
        </w:tc>
      </w:tr>
      <w:tr>
        <w:tc>
          <w:tcPr/>
          <w:p>
            <w:pPr>
              <w:spacing w:after="0" w:line="240" w:lineRule="auto"/>
              <w:pStyle w:val="Compact"/>
            </w:pPr>
            <w:r>
              <w:rPr>
                <w:sz w:val="20"/>
                <w:szCs w:val="20"/>
              </w:rPr>
              <w:t xml:space="preserve">Annual median effect</w:t>
            </w:r>
          </w:p>
        </w:tc>
        <w:tc>
          <w:tcPr/>
          <w:p>
            <w:pPr>
              <w:spacing w:after="0" w:line="240" w:lineRule="auto"/>
              <w:pStyle w:val="Compact"/>
              <w:jc w:val="right"/>
            </w:pPr>
            <w:r>
              <w:rPr>
                <w:sz w:val="20"/>
                <w:szCs w:val="20"/>
              </w:rPr>
              <w:t xml:space="preserve">-1.5100 %</w:t>
            </w:r>
          </w:p>
        </w:tc>
        <w:tc>
          <w:tcPr/>
          <w:p>
            <w:pPr>
              <w:spacing w:after="0" w:line="240" w:lineRule="auto"/>
              <w:pStyle w:val="Compact"/>
              <w:jc w:val="right"/>
            </w:pPr>
            <w:r>
              <w:rPr>
                <w:sz w:val="20"/>
                <w:szCs w:val="20"/>
              </w:rPr>
              <w:t xml:space="preserve">-0.3605 %</w:t>
            </w:r>
          </w:p>
        </w:tc>
        <w:tc>
          <w:tcPr/>
          <w:p>
            <w:pPr>
              <w:spacing w:after="0" w:line="240" w:lineRule="auto"/>
              <w:pStyle w:val="Compact"/>
              <w:jc w:val="right"/>
            </w:pPr>
            <w:r>
              <w:rPr>
                <w:sz w:val="20"/>
                <w:szCs w:val="20"/>
              </w:rP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 Figure 7 reports the null and the surviving ordering together.</w:t>
      </w:r>
    </w:p>
    <w:p>
      <w:pPr>
        <w:pStyle w:val="CaptionedFigure"/>
      </w:pPr>
      <w:r>
        <w:drawing>
          <wp:inline>
            <wp:extent cx="5334000" cy="3778250"/>
            <wp:effectExtent b="0" l="0" r="0" t="0"/>
            <wp:docPr descr="Figure 7" title="" id="105" name="Picture"/>
            <a:graphic>
              <a:graphicData uri="http://schemas.openxmlformats.org/drawingml/2006/picture">
                <pic:pic>
                  <pic:nvPicPr>
                    <pic:cNvPr descr="figures/Figure_07_heating_null.png" id="106" name="Picture"/>
                    <pic:cNvPicPr>
                      <a:picLocks noChangeArrowheads="1" noChangeAspect="1"/>
                    </pic:cNvPicPr>
                  </pic:nvPicPr>
                  <pic:blipFill>
                    <a:blip r:embed="rId104"/>
                    <a:stretch>
                      <a:fillRect/>
                    </a:stretch>
                  </pic:blipFill>
                  <pic:spPr bwMode="auto">
                    <a:xfrm>
                      <a:off x="0" y="0"/>
                      <a:ext cx="5334000" cy="3778250"/>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t xml:space="preserve">- The occupancy signal’s effect on heating, after the four-hour phase correction. Panel A:</w:t>
      </w:r>
      <w:r>
        <w:t xml:space="preserve"> </w:t>
      </w:r>
      <w:r>
        <w:t xml:space="preserve">peak effect against the spread between individual diaries, by fold; the effect is the smaller of the two</w:t>
      </w:r>
      <w:r>
        <w:t xml:space="preserve"> </w:t>
      </w:r>
      <w:r>
        <w:t xml:space="preserve">everywhere and its sign flips in Italy. Panel B: every annual median effect is negative, and the one</w:t>
      </w:r>
      <w:r>
        <w:t xml:space="preserve"> </w:t>
      </w:r>
      <w:r>
        <w:t xml:space="preserve">quantity that survives the correction unchanged is a geometric ordering in which apartment buildings</w:t>
      </w:r>
      <w:r>
        <w:t xml:space="preserve"> </w:t>
      </w:r>
      <w:r>
        <w:t xml:space="preserve">carry the largest effect in all three folds. Values are those of Table 10 and of §5.11.</w:t>
      </w:r>
    </w:p>
    <w:p>
      <w:pPr>
        <w:pStyle w:val="BodyText"/>
      </w:pPr>
      <w:r>
        <w:t xml:space="preserve">The observed-stock campaign says the same thing independently. Moving from no occupancy signal to full</w:t>
      </w:r>
      <w:r>
        <w:t xml:space="preserve"> </w:t>
      </w:r>
      <w:r>
        <w:t xml:space="preserve">occupancy signal moves annual heating by under half a per cent, while moving the hourly peak by up to</w:t>
      </w:r>
      <w:r>
        <w:t xml:space="preserve"> </w:t>
      </w:r>
      <w:r>
        <w:t xml:space="preserve">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166-percentage-point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107"/>
    <w:bookmarkEnd w:id="108"/>
    <w:bookmarkStart w:id="116" w:name="discussion"/>
    <w:p>
      <w:pPr>
        <w:pStyle w:val="Heading1"/>
      </w:pPr>
      <w:r>
        <w:t xml:space="preserve">6 Discussion</w:t>
      </w:r>
    </w:p>
    <w:bookmarkStart w:id="109" w:name="what-the-failure-is-and-what-it-is-not"/>
    <w:p>
      <w:pPr>
        <w:pStyle w:val="Heading3"/>
      </w:pPr>
      <w:r>
        <w:t xml:space="preserve">6.1 What the failure is, and what it is not</w:t>
      </w:r>
    </w:p>
    <w:p>
      <w:pPr>
        <w:pStyle w:val="FirstParagraph"/>
      </w:pPr>
      <w:r>
        <w:t xml:space="preserve">The pre-registered comparison failed uniformly. It failed in every activity band of every fold, by</w:t>
      </w:r>
      <w:r>
        <w:t xml:space="preserve"> </w:t>
      </w:r>
      <w:r>
        <w:t xml:space="preserve">factors between two and six, with the closest miss still 2.70 minutes per day on the wrong side of zero,</w:t>
      </w:r>
      <w:r>
        <w:t xml:space="preserve"> </w:t>
      </w:r>
      <w:r>
        <w:t xml:space="preserve">and five further registered transfer gates returned the same verdict on quantities the first gate does</w:t>
      </w:r>
      <w:r>
        <w:t xml:space="preserve"> </w:t>
      </w:r>
      <w:r>
        <w:t xml:space="preserve">not score. A result that fails everywhere is easier to interpret than one that fails in half its cells,</w:t>
      </w:r>
      <w:r>
        <w:t xml:space="preserve"> </w:t>
      </w:r>
      <w:r>
        <w:t xml:space="preserve">because there is no subset in which the method worked and no plausible reading in which a different fold</w:t>
      </w:r>
      <w:r>
        <w:t xml:space="preserve"> </w:t>
      </w:r>
      <w:r>
        <w:t xml:space="preserve">assignment would have changed the outcome.</w:t>
      </w:r>
    </w:p>
    <w:p>
      <w:pPr>
        <w:pStyle w:val="BodyText"/>
      </w:pPr>
      <w:r>
        <w:t xml:space="preserve">What the failure is not is a capacity failure, and this matters because capacity is the first explanation</w:t>
      </w:r>
      <w:r>
        <w:t xml:space="preserve"> </w:t>
      </w:r>
      <w:r>
        <w:t xml:space="preserve">a reader will reach for. Three independent measurements exclude it. Increasing the backbone by a factor</w:t>
      </w:r>
      <w:r>
        <w:t xml:space="preserve"> </w:t>
      </w:r>
      <w:r>
        <w:t xml:space="preserve">of 4.7 moved mean absolute error in the wrong direction, from 42.05 to 43.14 minutes per day, and reduced</w:t>
      </w:r>
      <w:r>
        <w:t xml:space="preserve"> </w:t>
      </w:r>
      <w:r>
        <w:t xml:space="preserve">the number of passing cells on the supporting budget gate from one to zero. Training every one of</w:t>
      </w:r>
      <w:r>
        <w:t xml:space="preserve"> </w:t>
      </w:r>
      <w:r>
        <w:t xml:space="preserve">7,377,965,056 parameters instead of the adapter’s 79,953,920, a ninety-two-fold increase with every other</w:t>
      </w:r>
      <w:r>
        <w:t xml:space="preserve"> </w:t>
      </w:r>
      <w:r>
        <w:t xml:space="preserve">setting held identical, ended at a higher training loss at every epoch. Changing to a different 7 B model</w:t>
      </w:r>
      <w:r>
        <w:t xml:space="preserve"> </w:t>
      </w:r>
      <w:r>
        <w:t xml:space="preserve">family cost twenty-four per cent more wall time and sixteen per cent more memory and moved nothing any</w:t>
      </w:r>
      <w:r>
        <w:t xml:space="preserve"> </w:t>
      </w:r>
      <w:r>
        <w:t xml:space="preserve">gate in this study can resolve. Two points are not a scaling curve and no scaling claim is made here; the</w:t>
      </w:r>
      <w:r>
        <w:t xml:space="preserve"> </w:t>
      </w:r>
      <w:r>
        <w:t xml:space="preserve">claim is the narrow negative one, that the registered failure is repaired by neither more trainable</w:t>
      </w:r>
      <w:r>
        <w:t xml:space="preserve"> </w:t>
      </w:r>
      <w:r>
        <w:t xml:space="preserve">parameters, nor a larger backbone, nor a different family.</w:t>
      </w:r>
    </w:p>
    <w:p>
      <w:pPr>
        <w:pStyle w:val="BodyText"/>
      </w:pPr>
      <w:r>
        <w:t xml:space="preserve">Nor is the failure an artefact of a model that ignored its conditioning. Four gates in the training step</w:t>
      </w:r>
      <w:r>
        <w:t xml:space="preserve"> </w:t>
      </w:r>
      <w:r>
        <w:t xml:space="preserve">never pass in this study, and it would be convenient to read them as evidence that the conditioning never</w:t>
      </w:r>
      <w:r>
        <w:t xml:space="preserve"> </w:t>
      </w:r>
      <w:r>
        <w:t xml:space="preserve">reached the model. Each was diagnosed to its own instrument instead: one has a sampling-noise floor on</w:t>
      </w:r>
      <w:r>
        <w:t xml:space="preserve"> </w:t>
      </w:r>
      <w:r>
        <w:t xml:space="preserve">frozen weights wider than its entire acceptance band, one carries a threshold with no justification</w:t>
      </w:r>
      <w:r>
        <w:t xml:space="preserve"> </w:t>
      </w:r>
      <w:r>
        <w:t xml:space="preserve">recorded anywhere, one is satisfiable only by an adapter that learned nothing, and one shuffles at most a</w:t>
      </w:r>
      <w:r>
        <w:t xml:space="preserve"> </w:t>
      </w:r>
      <w:r>
        <w:t xml:space="preserve">single prefix field while being asked to move cross-entropy as much as a full permutation. The model</w:t>
      </w:r>
      <w:r>
        <w:t xml:space="preserve"> </w:t>
      </w:r>
      <w:r>
        <w:t xml:space="preserve">conditions, and it still loses. That sentence is the one this discussion rests on.</w:t>
      </w:r>
    </w:p>
    <w:p>
      <w:pPr>
        <w:pStyle w:val="BodyText"/>
      </w:pPr>
      <w:r>
        <w:t xml:space="preserve">Finally, the failure is not a statement about what a language model can do with enough source countries.</w:t>
      </w:r>
      <w:r>
        <w:t xml:space="preserve"> </w:t>
      </w:r>
      <w:r>
        <w:t xml:space="preserve">Section 7.1 sets out why that question is open in both directions: no published floor on the number of</w:t>
      </w:r>
      <w:r>
        <w:t xml:space="preserve"> </w:t>
      </w:r>
      <w:r>
        <w:t xml:space="preserve">source populations exists to invoke in this study’s defence, and none exists to dismiss it with either.</w:t>
      </w:r>
    </w:p>
    <w:bookmarkEnd w:id="109"/>
    <w:bookmarkStart w:id="110"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 scoring</w:t>
      </w:r>
      <w:r>
        <w:t xml:space="preserve"> </w:t>
      </w:r>
      <w:r>
        <w:t xml:space="preserve">the response in two parts separates two failure modes that a single accuracy number fuses. On the reported</w:t>
      </w:r>
      <w:r>
        <w:t xml:space="preserve"> </w:t>
      </w:r>
      <w:r>
        <w:t xml:space="preserve">model, the measured half is amplitude: the generated population moves by roughly half the distance the</w:t>
      </w:r>
      <w:r>
        <w:t xml:space="preserve"> </w:t>
      </w:r>
      <w:r>
        <w:t xml:space="preserve">conditioning asks for, with a pooled slope between 0.40 and 0.53 against a registered floor of 0.80. The</w:t>
      </w:r>
      <w:r>
        <w:t xml:space="preserve"> </w:t>
      </w:r>
      <w:r>
        <w:t xml:space="preserve">steering half, whether the movement is in the direction the conditioning specifies, passes comfortably at</w:t>
      </w:r>
      <w:r>
        <w:t xml:space="preserve"> </w:t>
      </w:r>
      <w:r>
        <w:t xml:space="preserve">coefficients of determination between 0.85 and 0.98, and was computed on the pilot arm rather than</w:t>
      </w:r>
      <w:r>
        <w:t xml:space="preserve"> </w:t>
      </w:r>
      <w:r>
        <w:t xml:space="preserve">recomputed on the reported model. The reading offered here therefore rests on a measured amplitude</w:t>
      </w:r>
      <w:r>
        <w:t xml:space="preserve"> </w:t>
      </w:r>
      <w:r>
        <w:t xml:space="preserve">attenuation on the reported model and an inherited steering result from a smaller model trained under the</w:t>
      </w:r>
      <w:r>
        <w:t xml:space="preserve"> </w:t>
      </w:r>
      <w:r>
        <w:t xml:space="preserve">same recipe, and §7.10 lists the recomputation among this study’s unfinished items rather than presenting</w:t>
      </w:r>
      <w:r>
        <w:t xml:space="preserve"> </w:t>
      </w:r>
      <w:r>
        <w:t xml:space="preserve">it as done.</w:t>
      </w:r>
    </w:p>
    <w:p>
      <w:pPr>
        <w:pStyle w:val="BodyText"/>
      </w:pPr>
      <w:r>
        <w:t xml:space="preserve">Taken together the two arms say that the conditioning signal is read and acted on and that its magnitude</w:t>
      </w:r>
      <w:r>
        <w:t xml:space="preserve"> </w:t>
      </w:r>
      <w:r>
        <w:t xml:space="preserve">is attenuated. Taken apart, only the second of those is established on the model the paper reports, and</w:t>
      </w:r>
      <w:r>
        <w:t xml:space="preserve"> </w:t>
      </w:r>
      <w:r>
        <w:t xml:space="preserve">that is the weaker and more careful claim the rest of this section is built on.</w:t>
      </w:r>
    </w:p>
    <w:p>
      <w:pPr>
        <w:pStyle w:val="BodyText"/>
      </w:pPr>
      <w:r>
        <w:t xml:space="preserve">This is worth stating carefully because the two halves point to different remedies and the literature</w:t>
      </w:r>
      <w:r>
        <w:t xml:space="preserve"> </w:t>
      </w:r>
      <w:r>
        <w:t xml:space="preserve">routinely conflates them. A model that ignored its conditioning would need a conditioning mechanism. A</w:t>
      </w:r>
      <w:r>
        <w:t xml:space="preserve"> </w:t>
      </w:r>
      <w:r>
        <w:t xml:space="preserve">model that under-responds needs its response amplified, which is a different intervention with a</w:t>
      </w:r>
      <w:r>
        <w:t xml:space="preserve"> </w:t>
      </w:r>
      <w:r>
        <w:t xml:space="preserve">different failure mode of its own, since amplifying a conditional response is known to trade against the</w:t>
      </w:r>
      <w:r>
        <w:t xml:space="preserve"> </w:t>
      </w:r>
      <w:r>
        <w:t xml:space="preserve">entropy of what is generated. This study does not implement that amplification, and does not report a</w:t>
      </w:r>
      <w:r>
        <w:t xml:space="preserve"> </w:t>
      </w:r>
      <w:r>
        <w:t xml:space="preserve">predicted effect size for it, because no published measurement of any such method exists on this</w:t>
      </w:r>
      <w:r>
        <w:t xml:space="preserve"> </w:t>
      </w:r>
      <w:r>
        <w:t xml:space="preserve">diagnostic; the diagnostic is introduced here.</w:t>
      </w:r>
    </w:p>
    <w:p>
      <w:pPr>
        <w:pStyle w:val="BodyText"/>
      </w:pPr>
      <w:r>
        <w:t xml:space="preserve">The joint structure fails much harder than the budgets do. Dwell-time distributions sit at five to nearly</w:t>
      </w:r>
      <w:r>
        <w:t xml:space="preserve"> </w:t>
      </w:r>
      <w:r>
        <w:t xml:space="preserve">seven times their registered tolerance, total variation at three to five times, and diurnal divergence at</w:t>
      </w:r>
      <w:r>
        <w:t xml:space="preserve"> </w:t>
      </w:r>
      <w:r>
        <w:t xml:space="preserve">between four and eight times. Read together with the amplitude result, the picture is of a generator that</w:t>
      </w:r>
      <w:r>
        <w:t xml:space="preserve"> </w:t>
      </w:r>
      <w:r>
        <w:t xml:space="preserve">knows the shape of a European day in general, adjusts it in the right direction when told about a</w:t>
      </w:r>
      <w:r>
        <w:t xml:space="preserve"> </w:t>
      </w:r>
      <w:r>
        <w:t xml:space="preserve">country, and does not reproduce that country’s distribution of how long people stay in states.</w:t>
      </w:r>
    </w:p>
    <w:p>
      <w:pPr>
        <w:pStyle w:val="BodyText"/>
      </w:pPr>
      <w:r>
        <w:t xml:space="preserve">Where that sits relative to the older lineage is instructive. A first-order inhomogeneous Markov chain,</w:t>
      </w:r>
      <w:r>
        <w:t xml:space="preserve"> </w:t>
      </w:r>
      <w:r>
        <w:t xml:space="preserve">fitted on the same two training countries and scored on the same held-out one, reproduces the transition</w:t>
      </w:r>
      <w:r>
        <w:t xml:space="preserve"> </w:t>
      </w:r>
      <w:r>
        <w:t xml:space="preserve">rate almost exactly, at 0.264 transitions per day against a tolerance of 1.50, and misses the dwell-time</w:t>
      </w:r>
      <w:r>
        <w:t xml:space="preserve"> </w:t>
      </w:r>
      <w:r>
        <w:t xml:space="preserve">distribution by an order of magnitude, at 119.6 minutes of Wasserstein distance against a 10.0 minute</w:t>
      </w:r>
      <w:r>
        <w:t xml:space="preserve"> </w:t>
      </w:r>
      <w:r>
        <w:t xml:space="preserve">band. Matching a rate while missing the distribution is the characteristic first-order failure, and it is</w:t>
      </w:r>
      <w:r>
        <w:t xml:space="preserve"> </w:t>
      </w:r>
      <w:r>
        <w:t xml:space="preserve">the clearest single argument for scoring dwell times at all rather than scoring occupancy shares.</w:t>
      </w:r>
    </w:p>
    <w:bookmarkEnd w:id="110"/>
    <w:bookmarkStart w:id="111"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 null</w:t>
      </w:r>
      <w:r>
        <w:t xml:space="preserve"> </w:t>
      </w:r>
      <w:r>
        <w:t xml:space="preserve">is raked onto the same published marginals that the model was conditioned on, which at first reading</w:t>
      </w:r>
      <w:r>
        <w:t xml:space="preserve"> </w:t>
      </w:r>
      <w:r>
        <w:t xml:space="preserve">looks circular, since null and model share a reference. It is not circular, and the shared reference is</w:t>
      </w:r>
      <w:r>
        <w:t xml:space="preserve"> </w:t>
      </w:r>
      <w:r>
        <w:t xml:space="preserve">deliberate. The comparison is not between a candidate and its own target; it is between two candidates’</w:t>
      </w:r>
      <w:r>
        <w:t xml:space="preserve"> </w:t>
      </w:r>
      <w:r>
        <w:t xml:space="preserve">distance to a third reference that neither produced, published by national statistical offices before</w:t>
      </w:r>
      <w:r>
        <w:t xml:space="preserve"> </w:t>
      </w:r>
      <w:r>
        <w:t xml:space="preserve">either candidate existed. Giving the null weaker or different marginals would not have made the test more</w:t>
      </w:r>
      <w:r>
        <w:t xml:space="preserve"> </w:t>
      </w:r>
      <w:r>
        <w:t xml:space="preserve">demanding, it would have converted a null into a handicap, and any margin it produced would have measured</w:t>
      </w:r>
      <w:r>
        <w:t xml:space="preserve"> </w:t>
      </w:r>
      <w:r>
        <w:t xml:space="preserve">the handicap rather than the model. The construction is enforced in code rather than asserted in prose:</w:t>
      </w:r>
      <w:r>
        <w:t xml:space="preserve"> </w:t>
      </w:r>
      <w:r>
        <w:t xml:space="preserve">the comparison refuses to run if the two sides carry different marginal sources, and the margin is a</w:t>
      </w:r>
      <w:r>
        <w:t xml:space="preserve"> </w:t>
      </w:r>
      <w:r>
        <w:t xml:space="preserve">difference rather than a ratio, so a null scored against itself returns exactly zero and fails.</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111"/>
    <w:bookmarkStart w:id="112" w:name="X6a9e30880be5e5fb9af67b0f73f69c640682f55"/>
    <w:p>
      <w:pPr>
        <w:pStyle w:val="Heading3"/>
      </w:pPr>
      <w:r>
        <w:t xml:space="preserve">6.4 The absence in the literature, and what it licenses</w:t>
      </w:r>
    </w:p>
    <w:p>
      <w:pPr>
        <w:pStyle w:val="FirstParagraph"/>
      </w:pPr>
      <w:r>
        <w:t xml:space="preserve">We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We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in the first person</w:t>
      </w:r>
      <w:r>
        <w:t xml:space="preserve"> </w:t>
      </w:r>
      <w:r>
        <w:t xml:space="preserve">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112"/>
    <w:bookmarkStart w:id="113" w:name="Xdbe36da65f6586fc63b403dee6a129b43b39629"/>
    <w:p>
      <w:pPr>
        <w:pStyle w:val="Heading3"/>
      </w:pPr>
      <w:r>
        <w:t xml:space="preserve">6.5 What survives into building loads, and why it is the practically useful half</w:t>
      </w:r>
    </w:p>
    <w:p>
      <w:pPr>
        <w:pStyle w:val="FirstParagraph"/>
      </w:pPr>
      <w:r>
        <w:t xml:space="preserve">A transfer failure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failing gate, and both readings are printed in this</w:t>
      </w:r>
      <w:r>
        <w:t xml:space="preserve"> </w:t>
      </w:r>
      <w:r>
        <w:t xml:space="preserve">paper because they are the same numbers. Scored against a published reference load shape built from</w:t>
      </w:r>
      <w:r>
        <w:t xml:space="preserve"> </w:t>
      </w:r>
      <w:r>
        <w:t xml:space="preserve">British data collected around the year 2000, a Spanish stock load shape built from Spanish diaries</w:t>
      </w:r>
      <w:r>
        <w:t xml:space="preserve"> </w:t>
      </w:r>
      <w:r>
        <w:t xml:space="preserve">disagrees, and it is supposed to. The gate is reported failing and the disagreement is reported as a</w:t>
      </w:r>
      <w:r>
        <w:t xml:space="preserve"> </w:t>
      </w:r>
      <w:r>
        <w:t xml:space="preserve">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113"/>
    <w:bookmarkStart w:id="114"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 first</w:t>
      </w:r>
      <w:r>
        <w:t xml:space="preserve"> </w:t>
      </w:r>
      <w:r>
        <w:t xml:space="preserve">reason silently retires the second. When the hot-water gate was reclassified as informational, the only</w:t>
      </w:r>
      <w:r>
        <w:t xml:space="preserve"> </w:t>
      </w:r>
      <w:r>
        <w:t xml:space="preserve">detector of a doubled-draw mutation went with it, and a replacement had to be built and seen failing</w:t>
      </w:r>
      <w:r>
        <w:t xml:space="preserve"> </w:t>
      </w:r>
      <w:r>
        <w:t xml:space="preserve">before it could be trusted. A crash is not a failure: a self-test that raised an exception reported</w:t>
      </w:r>
      <w:r>
        <w:t xml:space="preserve"> </w:t>
      </w:r>
      <w:r>
        <w:t xml:space="preserve">nothing at all rather than a partial result, which made every perturbation after the crash point</w:t>
      </w:r>
      <w:r>
        <w:t xml:space="preserve"> </w:t>
      </w:r>
      <w:r>
        <w:t xml:space="preserve">unreachable while the board still looked populated. An empty population has not been satisfied, it has</w:t>
      </w:r>
      <w:r>
        <w:t xml:space="preserve"> </w:t>
      </w:r>
      <w:r>
        <w:t xml:space="preserve">not been asked, and several gates returned passes on zero rows before they were taught to report that</w:t>
      </w:r>
      <w:r>
        <w:t xml:space="preserve"> </w:t>
      </w:r>
      <w:r>
        <w:t xml:space="preserve">they were not evaluable. A re-run that reproduces the previous answer exactly is evidence the fix did not</w:t>
      </w:r>
      <w:r>
        <w:t xml:space="preserve"> </w:t>
      </w:r>
      <w:r>
        <w:t xml:space="preserve">reach the tool, which is how a bit-identical result across nine thousand simulations was diagnosed as a</w:t>
      </w:r>
      <w:r>
        <w:t xml:space="preserve"> </w:t>
      </w:r>
      <w:r>
        <w:t xml:space="preserve">script bypassing the emitter rather than as a robust finding. And most often of all, the check can be the</w:t>
      </w:r>
      <w:r>
        <w:t xml:space="preserve"> </w:t>
      </w:r>
      <w:r>
        <w:t xml:space="preserve">artefact that is wrong: a multiplier that is inert against a zero denominator, a first-match-wins</w:t>
      </w:r>
      <w:r>
        <w:t xml:space="preserve"> </w:t>
      </w:r>
      <w:r>
        <w:t xml:space="preserve">histogram that reads like a diagnosis, and a parser blind to the only object shape it would ever</w:t>
      </w:r>
      <w:r>
        <w:t xml:space="preserve"> </w:t>
      </w:r>
      <w:r>
        <w:t xml:space="preserve">encounter were all found by asking what the instrument was doing rather than what the model was doing.</w:t>
      </w:r>
    </w:p>
    <w:p>
      <w:pPr>
        <w:pStyle w:val="BodyText"/>
      </w:pPr>
      <w:r>
        <w:t xml:space="preserve">Two conventions follow from this and are recommended to anyone building a comparable pipeline. Every gate</w:t>
      </w:r>
      <w:r>
        <w:t xml:space="preserve"> </w:t>
      </w:r>
      <w:r>
        <w:t xml:space="preserve">must be seen failing on a deliberately injected fault before its passing verdict is trusted, and a battery</w:t>
      </w:r>
      <w:r>
        <w:t xml:space="preserve"> </w:t>
      </w:r>
      <w:r>
        <w:t xml:space="preserve">that cannot demonstrate this must report that it could not, rather than reporting a pass. And a gate that</w:t>
      </w:r>
      <w:r>
        <w:t xml:space="preserve"> </w:t>
      </w:r>
      <w:r>
        <w:t xml:space="preserve">fails at baseline cannot be used to demonstrate detection, so its mutation result is reported as already</w:t>
      </w:r>
      <w:r>
        <w:t xml:space="preserve"> </w:t>
      </w:r>
      <w:r>
        <w:t xml:space="preserve">failing rather than as a hit; conflating the two produces a coverage figure that is vacuous precisely</w:t>
      </w:r>
      <w:r>
        <w:t xml:space="preserve"> </w:t>
      </w:r>
      <w:r>
        <w:t xml:space="preserve">where the evidence is weakest.</w:t>
      </w:r>
    </w:p>
    <w:bookmarkEnd w:id="114"/>
    <w:bookmarkStart w:id="115"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two to six,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 countries can</w:t>
      </w:r>
      <w:r>
        <w:t xml:space="preserve"> </w:t>
      </w:r>
      <w:r>
        <w:t xml:space="preserve">be obtained, nothing does. The generator’s justification in this paper is as an object of investigation</w:t>
      </w:r>
      <w:r>
        <w:t xml:space="preserve"> </w:t>
      </w:r>
      <w:r>
        <w:t xml:space="preserve">into where conditional generative transfer breaks, and the two results worth carrying forward from it are</w:t>
      </w:r>
      <w:r>
        <w:t xml:space="preserve"> </w:t>
      </w:r>
      <w:r>
        <w:t xml:space="preserve">the direction-versus-amplitude diagnostic and the demonstration that the failure is not bought back with</w:t>
      </w:r>
      <w:r>
        <w:t xml:space="preserve"> </w:t>
      </w:r>
      <w:r>
        <w:t xml:space="preserve">capacity.</w:t>
      </w:r>
    </w:p>
    <w:p>
      <w:pPr>
        <w:pStyle w:val="BodyText"/>
      </w:pPr>
      <w:r>
        <w:t xml:space="preserve">That leaves a clear and narrow next experiment rather than a vague one, and this study deliberately does</w:t>
      </w:r>
      <w:r>
        <w:t xml:space="preserve"> </w:t>
      </w:r>
      <w:r>
        <w:t xml:space="preserve">not run it here. Amplifying the conditional response at generation time addresses the half of the failure</w:t>
      </w:r>
      <w:r>
        <w:t xml:space="preserve"> </w:t>
      </w:r>
      <w:r>
        <w:t xml:space="preserve">that was actually measured, and post-sampling calibration addresses the marginal gap arithmetically. Both</w:t>
      </w:r>
      <w:r>
        <w:t xml:space="preserve"> </w:t>
      </w:r>
      <w:r>
        <w:t xml:space="preserve">would have to be pre-registered separately, with their own bands fixed before they are run and with the</w:t>
      </w:r>
      <w:r>
        <w:t xml:space="preserve"> </w:t>
      </w:r>
      <w:r>
        <w:t xml:space="preserve">result reported here retained and reported alongside, because a bar moved after the fact measures the</w:t>
      </w:r>
      <w:r>
        <w:t xml:space="preserve"> </w:t>
      </w:r>
      <w:r>
        <w:t xml:space="preserve">mover. The second of the two carries a caveat that should be stated in advance of anyone attempting it:</w:t>
      </w:r>
      <w:r>
        <w:t xml:space="preserve"> </w:t>
      </w:r>
      <w:r>
        <w:t xml:space="preserve">calibrating generated output onto the target marginals closes the marginal gap because calibration closes</w:t>
      </w:r>
      <w:r>
        <w:t xml:space="preserve"> </w:t>
      </w:r>
      <w:r>
        <w:t xml:space="preserve">marginal gaps, and a hybrid that wins that way has not shown that the generator improved.</w:t>
      </w:r>
    </w:p>
    <w:bookmarkEnd w:id="115"/>
    <w:bookmarkEnd w:id="116"/>
    <w:bookmarkStart w:id="127"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17"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 That is</w:t>
      </w:r>
      <w:r>
        <w:t xml:space="preserve"> </w:t>
      </w:r>
      <w:r>
        <w:t xml:space="preserve">the central limitation of this study and it bounds the generality of the negative result directly: what</w:t>
      </w:r>
      <w:r>
        <w:t xml:space="preserve"> </w:t>
      </w:r>
      <w:r>
        <w:t xml:space="preserve">was measured is that a model fine-tuned on two European countries does not beat a donor pool drawn from</w:t>
      </w:r>
      <w:r>
        <w:t xml:space="preserve"> </w:t>
      </w:r>
      <w:r>
        <w:t xml:space="preserve">those same two countries. Whether the same model trained on eight or twenty source countries would beat</w:t>
      </w:r>
      <w:r>
        <w:t xml:space="preserve"> </w:t>
      </w:r>
      <w:r>
        <w:t xml:space="preserve">the same null is not measured here and cannot be inferred from what is.</w:t>
      </w:r>
    </w:p>
    <w:p>
      <w:pPr>
        <w:pStyle w:val="BodyText"/>
      </w:pPr>
      <w:r>
        <w:t xml:space="preserve">It is worth being precise about what the literature does and does not supply on this point, because the</w:t>
      </w:r>
      <w:r>
        <w:t xml:space="preserve"> </w:t>
      </w:r>
      <w:r>
        <w:t xml:space="preserve">temptation runs both ways. We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 needed to</w:t>
      </w:r>
      <w:r>
        <w:t xml:space="preserve"> </w:t>
      </w:r>
      <w:r>
        <w:t xml:space="preserve">separate invariant structure from environment-specific structure, but they are properties of estimators</w:t>
      </w:r>
      <w:r>
        <w:t xml:space="preserve"> </w:t>
      </w:r>
      <w:r>
        <w:t xml:space="preserve">that carry an explicit invariance objective. The model used here carries none: it is a low-rank adapter</w:t>
      </w:r>
      <w:r>
        <w:t xml:space="preserve"> </w:t>
      </w:r>
      <w:r>
        <w:t xml:space="preserve">trained by next-token prediction with the conditioning fields written into the prefix, and it never</w:t>
      </w:r>
      <w:r>
        <w:t xml:space="preserve"> </w:t>
      </w:r>
      <w:r>
        <w:t xml:space="preserve">attempts to recover an invariant predictor. A bound on when that procedure fails does not bind this one,</w:t>
      </w:r>
      <w:r>
        <w:t xml:space="preserve"> </w:t>
      </w:r>
      <w:r>
        <w:t xml:space="preserve">and the limitation is therefore stated as a corpus limitation rather than dressed as a theorem.</w:t>
      </w:r>
    </w:p>
    <w:bookmarkEnd w:id="117"/>
    <w:bookmarkStart w:id="118"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authors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§5.6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ours, and not about</w:t>
      </w:r>
      <w:r>
        <w:t xml:space="preserve"> </w:t>
      </w:r>
      <w:r>
        <w:t xml:space="preserve">the backbone.</w:t>
      </w:r>
    </w:p>
    <w:p>
      <w:pPr>
        <w:pStyle w:val="BodyText"/>
      </w:pPr>
      <w:r>
        <w:t xml:space="preserve">It does not, however, rescue the comparison, and the reason is structural. The raked donor pool was given</w:t>
      </w:r>
      <w:r>
        <w:t xml:space="preserve"> </w:t>
      </w:r>
      <w:r>
        <w:t xml:space="preserve">the same marginals and no more. Whatever the conditioning vector fails to carry, it failed to carry it</w:t>
      </w:r>
      <w:r>
        <w:t xml:space="preserve"> </w:t>
      </w:r>
      <w:r>
        <w:t xml:space="preserve">for both sides of a comparison that one side won by a factor of two to six. A richer conditioning vector</w:t>
      </w:r>
      <w:r>
        <w:t xml:space="preserve"> </w:t>
      </w:r>
      <w:r>
        <w:t xml:space="preserve">is a well-motivated next experiment; it is not an explanation of this one’s outcome.</w:t>
      </w:r>
    </w:p>
    <w:bookmarkEnd w:id="118"/>
    <w:bookmarkStart w:id="119"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19"/>
    <w:bookmarkStart w:id="120"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20"/>
    <w:bookmarkStart w:id="121"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 Renormalising</w:t>
      </w:r>
      <w:r>
        <w:t xml:space="preserve"> </w:t>
      </w:r>
      <w:r>
        <w:t xml:space="preserve">the sampling distribution over the allowed token set is a modification of the distribution being sampled,</w:t>
      </w:r>
      <w:r>
        <w:t xml:space="preserve"> </w:t>
      </w:r>
      <w:r>
        <w:t xml:space="preserve">not merely a filter on it, and this study measures the consequence rather than asserting its absence: the</w:t>
      </w:r>
      <w:r>
        <w:t xml:space="preserve"> </w:t>
      </w:r>
      <w:r>
        <w:t xml:space="preserve">registered neutrality gate fails in all three folds at parity sample size. The direction of the resulting</w:t>
      </w:r>
      <w:r>
        <w:t xml:space="preserve"> </w:t>
      </w:r>
      <w:r>
        <w:t xml:space="preserve">bias is not separately quantified, and no claim in this paper is stated in a form that would survive only</w:t>
      </w:r>
      <w:r>
        <w:t xml:space="preserve"> </w:t>
      </w:r>
      <w:r>
        <w:t xml:space="preserve">under the assumption that constrained decoding is distribution-preserving.</w:t>
      </w:r>
    </w:p>
    <w:p>
      <w:pPr>
        <w:pStyle w:val="BodyText"/>
      </w:pPr>
      <w:r>
        <w:t xml:space="preserve">A related rule constrains the whole study and is stated here once. Generated output is never raked. Raking</w:t>
      </w:r>
      <w:r>
        <w:t xml:space="preserve"> </w:t>
      </w:r>
      <w:r>
        <w:t xml:space="preserve">our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21"/>
    <w:bookmarkStart w:id="122"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22"/>
    <w:bookmarkStart w:id="123"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 only, so</w:t>
      </w:r>
      <w:r>
        <w:t xml:space="preserve"> </w:t>
      </w:r>
      <w:r>
        <w:t xml:space="preserve">a load that a respondent recorded only as a secondary activity is invisible to it. Laundry is the</w:t>
      </w:r>
      <w:r>
        <w:t xml:space="preserve"> </w:t>
      </w:r>
      <w:r>
        <w:t xml:space="preserve">archetypal case, and the size of the resulting suppression is measured at both scales and reported as a</w:t>
      </w:r>
      <w:r>
        <w:t xml:space="preserve"> </w:t>
      </w:r>
      <w:r>
        <w:t xml:space="preserve">failing gate rather than repaired by moving a band. The size of the total unbounded portion, the loads</w:t>
      </w:r>
      <w:r>
        <w:t xml:space="preserve"> </w:t>
      </w:r>
      <w:r>
        <w:t xml:space="preserve">that are only ever secondary, has no published measurement anywhere that would bound it, and this study</w:t>
      </w:r>
      <w:r>
        <w:t xml:space="preserve"> </w:t>
      </w:r>
      <w:r>
        <w:t xml:space="preserve">does not supply one. Separately, the appliance ownership shares underlying the model are British and</w:t>
      </w:r>
      <w:r>
        <w:t xml:space="preserve"> </w:t>
      </w:r>
      <w:r>
        <w:t xml:space="preserve">roughly two decades old, and they are applied unchanged to Spain and Italy; the six-hour peak spread</w:t>
      </w:r>
      <w:r>
        <w:t xml:space="preserve"> </w:t>
      </w:r>
      <w:r>
        <w:t xml:space="preserve">reported in §5.6 survives that because it is produced by the timing of activities rather than by ownership</w:t>
      </w:r>
      <w:r>
        <w:t xml:space="preserve"> </w:t>
      </w:r>
      <w:r>
        <w:t xml:space="preserve">levels, but no ownership-dependent quantity in this paper should be read as country-specific.</w:t>
      </w:r>
    </w:p>
    <w:p>
      <w:pPr>
        <w:pStyle w:val="BodyText"/>
      </w:pPr>
      <w:r>
        <w:t xml:space="preserve">The domestic hot water comparison is reported as a denominator incompatibility and never as a model</w:t>
      </w:r>
      <w:r>
        <w:t xml:space="preserve"> </w:t>
      </w:r>
      <w:r>
        <w:t xml:space="preserve">failure or a pass. The band it was scored against turned out on inspection to be per-person while the</w:t>
      </w:r>
      <w:r>
        <w:t xml:space="preserve"> </w:t>
      </w:r>
      <w:r>
        <w:t xml:space="preserve">source most often cited for it publishes a per-dwelling figure, and the scored quantity was found to track</w:t>
      </w:r>
      <w:r>
        <w:t xml:space="preserve"> </w:t>
      </w:r>
      <w:r>
        <w:t xml:space="preserve">household size almost exactly. The band was not moved, the medians are still printed outside it, and the</w:t>
      </w:r>
      <w:r>
        <w:t xml:space="preserve"> </w:t>
      </w:r>
      <w:r>
        <w:t xml:space="preserve">gate is permanently informational. One further caution is carried openly: the paper that is the true</w:t>
      </w:r>
      <w:r>
        <w:t xml:space="preserve"> </w:t>
      </w:r>
      <w:r>
        <w:t xml:space="preserve">source of the per-person band has not been read by the authors, and the figure inside it remains</w:t>
      </w:r>
      <w:r>
        <w:t xml:space="preserve"> </w:t>
      </w:r>
      <w:r>
        <w:t xml:space="preserve">unverified at the time of writing.</w:t>
      </w:r>
    </w:p>
    <w:bookmarkEnd w:id="123"/>
    <w:bookmarkStart w:id="124"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24"/>
    <w:bookmarkStart w:id="125"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 the</w:t>
      </w:r>
      <w:r>
        <w:t xml:space="preserve"> </w:t>
      </w:r>
      <w:r>
        <w:t xml:space="preserve">data agreement rather than on any model licence, and it is reinforced by this study’s own membership</w:t>
      </w:r>
      <w:r>
        <w:t xml:space="preserve"> </w:t>
      </w:r>
      <w:r>
        <w:t xml:space="preserve">inference result, which fails its registered bar. The British synthetic population is withheld with the</w:t>
      </w:r>
      <w:r>
        <w:t xml:space="preserve"> </w:t>
      </w:r>
      <w:r>
        <w:t xml:space="preserve">weights under the pre-registration’s own terms. The Spanish and Italian synthetic populations, the code,</w:t>
      </w:r>
      <w:r>
        <w:t xml:space="preserve"> </w:t>
      </w:r>
      <w:r>
        <w:t xml:space="preserve">the gate implementations and the frozen pre-registration 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25"/>
    <w:bookmarkStart w:id="126"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failing without ever having been adjudicated by the authors, and carries no decision</w:t>
      </w:r>
      <w:r>
        <w:t xml:space="preserve"> </w:t>
      </w:r>
      <w:r>
        <w:t xml:space="preserve">record; on inspection its shuffle key omits one of the six prefix fields and therefore changes at most one</w:t>
      </w:r>
      <w:r>
        <w:t xml:space="preserve"> </w:t>
      </w:r>
      <w:r>
        <w:t xml:space="preserve">field, and for a majority of diaries changes nothing at all, while being asked to move cross-entropy as</w:t>
      </w:r>
      <w:r>
        <w:t xml:space="preserve"> </w:t>
      </w:r>
      <w:r>
        <w:t xml:space="preserve">much as a full permutation would. It is reported failing, and reported as unfinished.</w:t>
      </w:r>
    </w:p>
    <w:p>
      <w:pPr>
        <w:pStyle w:val="BodyText"/>
      </w:pPr>
      <w:r>
        <w:t xml:space="preserve">The steering arm of the fictional-country control was computed on the pilot arm and never recomputed on</w:t>
      </w:r>
      <w:r>
        <w:t xml:space="preserve"> </w:t>
      </w:r>
      <w:r>
        <w:t xml:space="preserve">the reported model. Only the amplitude arm exists for the model this paper reports. The consequence is</w:t>
      </w:r>
      <w:r>
        <w:t xml:space="preserve"> </w:t>
      </w:r>
      <w:r>
        <w:t xml:space="preserve">that the sentence</w:t>
      </w:r>
      <w:r>
        <w:t xml:space="preserve"> </w:t>
      </w:r>
      <w:r>
        <w:rPr>
          <w:i/>
          <w:iCs/>
        </w:rPr>
        <w:t xml:space="preserve">the model steers correctly and delivers half the amplitude</w:t>
      </w:r>
      <w:r>
        <w:t xml:space="preserve">, which is the most</w:t>
      </w:r>
      <w:r>
        <w:t xml:space="preserve"> </w:t>
      </w:r>
      <w:r>
        <w:t xml:space="preserve">quotable reading this study produces, is half measured on the reported model and half inherited from a</w:t>
      </w:r>
      <w:r>
        <w:t xml:space="preserve"> </w:t>
      </w:r>
      <w:r>
        <w:t xml:space="preserve">smaller one. The recomputation is a single generation run against an existing control and it is named</w:t>
      </w:r>
      <w:r>
        <w:t xml:space="preserve"> </w:t>
      </w:r>
      <w:r>
        <w:t xml:space="preserve">here rather than quietly assumed. Separately, the amplitude arm’s governing definition pools five</w:t>
      </w:r>
      <w:r>
        <w:t xml:space="preserve"> </w:t>
      </w:r>
      <w:r>
        <w:t xml:space="preserve">conditioning channels with one excluded by name, and the figure printed against the registered floor for</w:t>
      </w:r>
      <w:r>
        <w:t xml:space="preserve"> </w:t>
      </w:r>
      <w:r>
        <w:t xml:space="preserve">the reported model pools six; the two definitions were never reconciled on the reported model, and both</w:t>
      </w:r>
      <w:r>
        <w:t xml:space="preserve"> </w:t>
      </w:r>
      <w:r>
        <w:t xml:space="preserve">readings are printed in §5.4 rather than one being chosen.</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 districts,</w:t>
      </w:r>
      <w:r>
        <w:t xml:space="preserve"> </w:t>
      </w:r>
      <w:r>
        <w:t xml:space="preserve">and its gate board was never executed; it is described here as a compute campaign whose board was</w:t>
      </w:r>
      <w:r>
        <w:t xml:space="preserve"> </w:t>
      </w:r>
      <w:r>
        <w:t xml:space="preserve">deliberately not read, and no scored result from it is claimed anywhere. Within the smaller campaign, a</w:t>
      </w:r>
      <w:r>
        <w:t xml:space="preserve"> </w:t>
      </w:r>
      <w:r>
        <w:t xml:space="preserve">block of failed cells in one city was left unrepaired by deliberate choice, and three courtyard buildings</w:t>
      </w:r>
      <w:r>
        <w:t xml:space="preserve"> </w:t>
      </w:r>
      <w:r>
        <w:t xml:space="preserve">in another are permanently outside what this subdivision method can simulate.</w:t>
      </w:r>
    </w:p>
    <w:bookmarkEnd w:id="126"/>
    <w:bookmarkEnd w:id="127"/>
    <w:bookmarkStart w:id="128" w:name="conclusion"/>
    <w:p>
      <w:pPr>
        <w:pStyle w:val="Heading1"/>
      </w:pPr>
      <w:r>
        <w:t xml:space="preserve">8 Conclusion</w:t>
      </w:r>
    </w:p>
    <w:p>
      <w:pPr>
        <w:pStyle w:val="FirstParagraph"/>
      </w:pPr>
      <w:r>
        <w:t xml:space="preserve">A fine-tuned open-weight language model, trained on two European countries’ harmonised time-use diaries</w:t>
      </w:r>
      <w:r>
        <w:t xml:space="preserve"> </w:t>
      </w:r>
      <w:r>
        <w:t xml:space="preserve">and conditioned on a third country’s published demographic tables alone, does not reproduce that third</w:t>
      </w:r>
      <w:r>
        <w:t xml:space="preserve"> </w:t>
      </w:r>
      <w:r>
        <w:t xml:space="preserve">country as well as a pool of the same two countries’ real diaries reweighted onto the same tables. The</w:t>
      </w:r>
      <w:r>
        <w:t xml:space="preserve"> </w:t>
      </w:r>
      <w:r>
        <w:t xml:space="preserve">comparison was pre-registered as the objective, frozen and hash-locked before training, and it failed in</w:t>
      </w:r>
      <w:r>
        <w:t xml:space="preserve"> </w:t>
      </w:r>
      <w:r>
        <w:t xml:space="preserve">all nine of its cells by factors of two to six, with five further registered checks agreeing. The bar was</w:t>
      </w:r>
      <w:r>
        <w:t xml:space="preserve"> </w:t>
      </w:r>
      <w:r>
        <w:t xml:space="preserve">not moved, no metric was substituted, and the result is reported at the strength at which it failed.</w:t>
      </w:r>
    </w:p>
    <w:p>
      <w:pPr>
        <w:pStyle w:val="BodyText"/>
      </w:pPr>
      <w:r>
        <w:t xml:space="preserve">The failure is not explained by capacity. A backbone 4.7 times larger moved the error in the wrong</w:t>
      </w:r>
      <w:r>
        <w:t xml:space="preserve"> </w:t>
      </w:r>
      <w:r>
        <w:t xml:space="preserve">direction; training ninety-two times as many parameters ended at a higher training loss at every epoch;</w:t>
      </w:r>
      <w:r>
        <w:t xml:space="preserve"> </w:t>
      </w:r>
      <w:r>
        <w:t xml:space="preserve">and a second model family bought nothing any check in this study can resolve. Nor is it explained by a</w:t>
      </w:r>
      <w:r>
        <w:t xml:space="preserve"> </w:t>
      </w:r>
      <w:r>
        <w:t xml:space="preserve">model that ignored its conditioning: the response to an unseen country’s marginals is real and is</w:t>
      </w:r>
      <w:r>
        <w:t xml:space="preserve"> </w:t>
      </w:r>
      <w:r>
        <w:t xml:space="preserve">delivered at roughly half the required strength in all three folds.</w:t>
      </w:r>
    </w:p>
    <w:p>
      <w:pPr>
        <w:pStyle w:val="BodyText"/>
      </w:pPr>
      <w:r>
        <w:t xml:space="preserve">What the study offers beyond the verdict is threefold. The comparison itself is a baseline the field can</w:t>
      </w:r>
      <w:r>
        <w:t xml:space="preserve"> </w:t>
      </w:r>
      <w:r>
        <w:t xml:space="preserve">adopt: a demographically raked real-donor pool is the instrument a practitioner would actually use, it is</w:t>
      </w:r>
      <w:r>
        <w:t xml:space="preserve"> </w:t>
      </w:r>
      <w:r>
        <w:t xml:space="preserve">hard to beat for a structural reason rather than an empirical one, and evaluating cross-population</w:t>
      </w:r>
      <w:r>
        <w:t xml:space="preserve"> </w:t>
      </w:r>
      <w:r>
        <w:t xml:space="preserve">generative transfer against anything weaker measures the baseline rather than the method. The</w:t>
      </w:r>
      <w:r>
        <w:t xml:space="preserve"> </w:t>
      </w:r>
      <w:r>
        <w:t xml:space="preserve">direction-versus-amplitude decomposition locates a failure that a single accuracy number fuses, and it is</w:t>
      </w:r>
      <w:r>
        <w:t xml:space="preserve"> </w:t>
      </w:r>
      <w:r>
        <w:t xml:space="preserve">applicable wherever a generative model is steered by a conditioning vector toward a distributional target.</w:t>
      </w:r>
      <w:r>
        <w:t xml:space="preserve"> </w:t>
      </w:r>
      <w:r>
        <w:t xml:space="preserve">And the machinery of registered bands, mutation batteries that must be seen failing, coverage clauses that</w:t>
      </w:r>
      <w:r>
        <w:t xml:space="preserve"> </w:t>
      </w:r>
      <w:r>
        <w:t xml:space="preserve">distinguish a passing check from an unasked one, and refusals that are reported rather than resolved,</w:t>
      </w:r>
      <w:r>
        <w:t xml:space="preserve"> </w:t>
      </w:r>
      <w:r>
        <w:t xml:space="preserve">caught this study’s own instruments repeatedly, including a four-hour phase error that inverted a headline</w:t>
      </w:r>
      <w:r>
        <w:t xml:space="preserve"> </w:t>
      </w:r>
      <w:r>
        <w:t xml:space="preserve">and forced the 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two to six, it runs in seconds, and</w:t>
      </w:r>
      <w:r>
        <w:t xml:space="preserve"> </w:t>
      </w:r>
      <w:r>
        <w:t xml:space="preserve">every day it produces is a day somebody lived.</w:t>
      </w:r>
    </w:p>
    <w:bookmarkEnd w:id="128"/>
    <w:bookmarkStart w:id="129" w:name="references"/>
    <w:p>
      <w:pPr>
        <w:pStyle w:val="Heading1"/>
      </w:pPr>
      <w:r>
        <w:t xml:space="preserve">References</w:t>
      </w:r>
    </w:p>
    <w:p>
      <w:pPr>
        <w:pStyle w:val="FirstParagraph"/>
      </w:pPr>
      <w:r>
        <w:rPr>
          <w:i/>
          <w:iCs/>
        </w:rPr>
        <w:t xml:space="preserve">Reference list assembled from this project’s own verified citation records. Every DOI below was resolved</w:t>
      </w:r>
      <w:r>
        <w:rPr>
          <w:i/>
          <w:iCs/>
        </w:rPr>
        <w:t xml:space="preserve"> </w:t>
      </w:r>
      <w:r>
        <w:rPr>
          <w:i/>
          <w:iCs/>
        </w:rPr>
        <w:t xml:space="preserve">against CrossRef during the pipeline’s citation checks; four such checks are reported in this paper as not</w:t>
      </w:r>
      <w:r>
        <w:rPr>
          <w:i/>
          <w:iCs/>
        </w:rPr>
        <w:t xml:space="preserve"> </w:t>
      </w:r>
      <w:r>
        <w:rPr>
          <w:i/>
          <w:iCs/>
        </w:rPr>
        <w:t xml:space="preserve">performed offline and resolve online. One entry is flagged: the review that is the true source of the</w:t>
      </w:r>
      <w:r>
        <w:rPr>
          <w:i/>
          <w:iCs/>
        </w:rPr>
        <w:t xml:space="preserve"> </w:t>
      </w:r>
      <w:r>
        <w:rPr>
          <w:i/>
          <w:iCs/>
        </w:rPr>
        <w:t xml:space="preserve">domestic hot water band has not been read by the authors, and §7.7 says so in the text.</w:t>
      </w:r>
    </w:p>
    <w:p>
      <w:pPr>
        <w:pStyle w:val="BodyText"/>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81(1), 1530-1547. DOI: 10.1016/j.rser.2017.05.229 [not read by the authors; see §7.7]</w:t>
      </w:r>
    </w:p>
    <w:p>
      <w:pPr>
        <w:pStyle w:val="BodyText"/>
      </w:pPr>
      <w:r>
        <w:t xml:space="preserve">Jordan, U., and Vajen, K. Realistic domestic hot-water profiles in different time scales. Universität</w:t>
      </w:r>
      <w:r>
        <w:t xml:space="preserve"> </w:t>
      </w:r>
      <w:r>
        <w:t xml:space="preserve">Marburg.</w:t>
      </w:r>
    </w:p>
    <w:p>
      <w:pPr>
        <w:pStyle w:val="BodyText"/>
      </w:pPr>
      <w:r>
        <w:t xml:space="preserve">Lombardi, F., Balderrama, S., Quoilin, S., and Colombo, E. (2020). Generating high-resolution multi-energy</w:t>
      </w:r>
      <w:r>
        <w:t xml:space="preserve"> </w:t>
      </w:r>
      <w:r>
        <w:t xml:space="preserve">load profiles for remote areas with an open-source stochastic model.</w:t>
      </w:r>
      <w:r>
        <w:t xml:space="preserve"> </w:t>
      </w:r>
      <w:r>
        <w:rPr>
          <w:i/>
          <w:iCs/>
        </w:rPr>
        <w:t xml:space="preserve">Energy</w:t>
      </w:r>
      <w:r>
        <w:t xml:space="preserve">.</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w:t>
      </w:r>
    </w:p>
    <w:p>
      <w:pPr>
        <w:pStyle w:val="BodyText"/>
      </w:pPr>
      <w:r>
        <w:t xml:space="preserve">Vosoughkhosravi, S., Dixon-Grasso, L., and Jafari, A. (2023). The impact of occupancy on building energy</w:t>
      </w:r>
      <w:r>
        <w:t xml:space="preserve"> </w:t>
      </w:r>
      <w:r>
        <w:t xml:space="preserve">performance: a review.</w:t>
      </w:r>
      <w:r>
        <w:t xml:space="preserve"> </w:t>
      </w:r>
      <w:r>
        <w:rPr>
          <w:i/>
          <w:iCs/>
        </w:rPr>
        <w:t xml:space="preserve">Energy and Buildings</w:t>
      </w:r>
      <w:r>
        <w:t xml:space="preserve">.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w:t>
      </w:r>
    </w:p>
    <w:p>
      <w:pPr>
        <w:pStyle w:val="BodyText"/>
      </w:pPr>
      <w:r>
        <w:t xml:space="preserve">⚠</w:t>
      </w:r>
      <w:r>
        <w:t xml:space="preserve"> </w:t>
      </w:r>
      <w:r>
        <w:rPr>
          <w:b/>
          <w:bCs/>
        </w:rPr>
        <w:t xml:space="preserve">To be completed before submission.</w:t>
      </w:r>
      <w:r>
        <w:t xml:space="preserve"> </w:t>
      </w:r>
      <w:r>
        <w:t xml:space="preserve">The TABULA typology documentation, the three national survey</w:t>
      </w:r>
      <w:r>
        <w:t xml:space="preserve"> </w:t>
      </w:r>
      <w:r>
        <w:t xml:space="preserve">user guides, the Eurostat HETUS methodological guidelines, and the authors’ own prior line are cited in the</w:t>
      </w:r>
      <w:r>
        <w:t xml:space="preserve"> </w:t>
      </w:r>
      <w:r>
        <w:t xml:space="preserve">text and are not yet formatted here. The HETUS guidelines in particular carry an open check recorded in</w:t>
      </w:r>
      <w:r>
        <w:t xml:space="preserve"> </w:t>
      </w:r>
      <w:r>
        <w:t xml:space="preserve">§2.1: they have not been read directly on the question of diary-day allocation, and no claim about the</w:t>
      </w:r>
      <w:r>
        <w:t xml:space="preserve"> </w:t>
      </w:r>
      <w:r>
        <w:t xml:space="preserve">HETUS framework’s requirements is made in this paper until they are.</w:t>
      </w:r>
    </w:p>
    <w:bookmarkEnd w:id="12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imes New Roman" w:cs="Times New Roman" w:eastAsia="Times New Roman" w:hAnsi="Times New Roman"/>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imes New Roman" w:cs="Times New Roman" w:eastAsia="Times New Roman" w:hAnsi="Times New Roman"/>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ascii="Times New Roman" w:cs="Times New Roman" w:eastAsia="Times New Roman" w:hAnsi="Times New Roman"/>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szCs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2026-09-14T13:37:25Z</dcterms:created>
  <dcterms:modified xsi:type="dcterms:W3CDTF">2026-09-14T13:37:25Z</dcterms:modified>
</cp:coreProperties>
</file>

<file path=docProps/custom.xml><?xml version="1.0" encoding="utf-8"?>
<Properties xmlns="http://schemas.openxmlformats.org/officeDocument/2006/custom-properties" xmlns:vt="http://schemas.openxmlformats.org/officeDocument/2006/docPropsVTypes"/>
</file>