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3.png" ContentType="image/png"/>
  <Override PartName="/word/media/rId78.png" ContentType="image/png"/>
  <Override PartName="/word/media/rId82.png" ContentType="image/png"/>
  <Override PartName="/word/media/rId86.png" ContentType="image/png"/>
  <Override PartName="/word/media/rId109.png" ContentType="image/png"/>
  <Override PartName="/word/media/rId53.png" ContentType="image/png"/>
  <Override PartName="/word/media/rId73.png" ContentType="image/png"/>
  <Override PartName="/word/media/rId112.png" ContentType="image/png"/>
  <Override PartName="/word/media/rId56.png" ContentType="image/png"/>
  <Override PartName="/word/media/rId60.png" ContentType="image/png"/>
  <Override PartName="/word/media/rId65.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66ee92d4f63f271ba4a9065c7142fb11d4979a"/>
    <w:p>
      <w:pPr>
        <w:pStyle w:val="Heading1"/>
      </w:pPr>
      <w:r>
        <w:t xml:space="preserve">Canadian residential occupancy schedules from four time-use cycles (2005–2022) and a hindcast-tested projection to 2025</w:t>
      </w:r>
    </w:p>
    <w:p>
      <w:pPr>
        <w:pStyle w:val="FirstParagraph"/>
      </w:pPr>
      <w:r>
        <w:t xml:space="preserve">Orcun Koral Iseri</w:t>
      </w:r>
      <w:r>
        <w:rPr>
          <w:vertAlign w:val="superscript"/>
        </w:rPr>
        <w:t xml:space="preserve">a,*</w:t>
      </w:r>
      <w:r>
        <w:t xml:space="preserve">, Caroline Hachem-Vermette</w:t>
      </w:r>
      <w:r>
        <w:rPr>
          <w:vertAlign w:val="superscript"/>
        </w:rPr>
        <w:t xml:space="preserve">a</w:t>
      </w:r>
    </w:p>
    <w:p>
      <w:pPr>
        <w:pStyle w:val="BodyText"/>
      </w:pPr>
      <w:r>
        <w:rPr>
          <w:vertAlign w:val="superscript"/>
        </w:rPr>
        <w:t xml:space="preserve">a</w:t>
      </w:r>
      <w:r>
        <w:t xml:space="preserve"> </w:t>
      </w:r>
      <w:r>
        <w:t xml:space="preserve">Department of Building, Civil and Environmental Engineering, Gina Cody School of Engineering and Computer Science, Concordia University, 1455 De Maisonneuve Blvd. W., Montréal, Québec, H3G 1M8, Canada</w:t>
      </w:r>
    </w:p>
    <w:p>
      <w:pPr>
        <w:pStyle w:val="BodyText"/>
      </w:pPr>
      <w:r>
        <w:t xml:space="preserve">* Corresponding author. E-mail address: orcunkoral.oseri@concordia.ca</w:t>
      </w:r>
    </w:p>
    <w:bookmarkStart w:id="40" w:name="abstract"/>
    <w:p>
      <w:pPr>
        <w:pStyle w:val="Heading3"/>
      </w:pPr>
      <w:r>
        <w:t xml:space="preserve">Abstract</w:t>
      </w:r>
    </w:p>
    <w:p>
      <w:pPr>
        <w:pStyle w:val="FirstParagraph"/>
      </w:pPr>
      <w:r>
        <w:t xml:space="preserve">Occupancy schedules for building performance simulation are usually fitted to one survey year and then treated as fixed. This study builds household-level presence, activity and metabolic schedules for Canada from four General Social Survey time-use cycles (2005, 2010, 2015 and 2022) linked to four Census cycles, with the same definitions in every cycle, and projects the household population to 2025 with a conditional variational autoencoder and a cluster-based drift model. The projection was tested by a hindcast: trained on the 2006 to 2016 censuses, it was scored against the held-out 2021 Census together with three simple baselines. The projection was closer to the 2021 Census than carrying the 2016 population forward on only 7 of the 24 variables, so the pre-set pass rule was not met; the 2025 cohort is therefore used as a scenario close to the 2021 population, not as a better forecast than carry-forward. Households were at home 15.6 to 16.2 h per weekday from 2005 to 2015 and 17.9 h in 2022, when the weekday daytime occupancy fraction rose from 0.36–0.40 to 0.52 and the weekday–weekend gap narrowed from 1.4–1.8 h to 0.6 h. Against a standard apartment schedule, which places presence and internal gains at the wrong hours, the survey-based schedules raised simulated heating by 6 to 16 % and lowered cooling by 1 to 9 % in three Montreal house neighbourhoods (30 random household draws, 95 % confidence intervals), changed both by less than 7 % in three apartment neighbourhoods, and did not move the time of the cooling peak. Only the post-pandemic 2022 schedules were clearly distinct from the other cycles.</w:t>
      </w:r>
    </w:p>
    <w:bookmarkEnd w:id="40"/>
    <w:bookmarkStart w:id="41" w:name="keywords"/>
    <w:p>
      <w:pPr>
        <w:pStyle w:val="Heading3"/>
      </w:pPr>
      <w:r>
        <w:t xml:space="preserve">Keywords</w:t>
      </w:r>
    </w:p>
    <w:p>
      <w:pPr>
        <w:pStyle w:val="FirstParagraph"/>
      </w:pPr>
      <w:r>
        <w:t xml:space="preserve">Occupancy schedules; time-use survey; longitudinal analysis; occupant behaviour; conditional variational autoencoder; population projection; building performance simulation; Canada</w:t>
      </w:r>
    </w:p>
    <w:bookmarkEnd w:id="41"/>
    <w:bookmarkStart w:id="42" w:name="highlights"/>
    <w:p>
      <w:pPr>
        <w:pStyle w:val="Heading3"/>
      </w:pPr>
      <w:r>
        <w:t xml:space="preserve">Highlights</w:t>
      </w:r>
    </w:p>
    <w:p>
      <w:pPr>
        <w:pStyle w:val="Compact"/>
        <w:numPr>
          <w:ilvl w:val="0"/>
          <w:numId w:val="1001"/>
        </w:numPr>
      </w:pPr>
      <w:r>
        <w:t xml:space="preserve">Four Canadian time-use cycles (2005–2022) harmonised into household schedules</w:t>
      </w:r>
    </w:p>
    <w:p>
      <w:pPr>
        <w:pStyle w:val="Compact"/>
        <w:numPr>
          <w:ilvl w:val="0"/>
          <w:numId w:val="1001"/>
        </w:numPr>
      </w:pPr>
      <w:r>
        <w:t xml:space="preserve">Presence was flat from 2005 to 2015 and rose in weekday daytime in 2022</w:t>
      </w:r>
    </w:p>
    <w:p>
      <w:pPr>
        <w:pStyle w:val="Compact"/>
        <w:numPr>
          <w:ilvl w:val="0"/>
          <w:numId w:val="1001"/>
        </w:numPr>
      </w:pPr>
      <w:r>
        <w:t xml:space="preserve">A hindcast against the held-out 2021 Census tests the 2025 projection</w:t>
      </w:r>
    </w:p>
    <w:p>
      <w:pPr>
        <w:pStyle w:val="Compact"/>
        <w:numPr>
          <w:ilvl w:val="0"/>
          <w:numId w:val="1001"/>
        </w:numPr>
      </w:pPr>
      <w:r>
        <w:t xml:space="preserve">Survey schedules raise house heating 6–16 % and cut cooling 1–9 % vs a default</w:t>
      </w:r>
    </w:p>
    <w:p>
      <w:pPr>
        <w:pStyle w:val="Compact"/>
        <w:numPr>
          <w:ilvl w:val="0"/>
          <w:numId w:val="1001"/>
        </w:numPr>
      </w:pPr>
      <w:r>
        <w:t xml:space="preserve">Occupancy changes the size of the cooling peak, not its timing</w:t>
      </w:r>
    </w:p>
    <w:bookmarkEnd w:id="42"/>
    <w:bookmarkEnd w:id="43"/>
    <w:bookmarkStart w:id="47" w:name="introduction"/>
    <w:p>
      <w:pPr>
        <w:pStyle w:val="Heading1"/>
      </w:pPr>
      <w:r>
        <w:t xml:space="preserve">1 Introduction</w:t>
      </w:r>
    </w:p>
    <w:bookmarkStart w:id="44" w:name="time-use-surveys-in-occupancy-modelling"/>
    <w:p>
      <w:pPr>
        <w:pStyle w:val="Heading2"/>
      </w:pPr>
      <w:r>
        <w:t xml:space="preserve">1.1 Time-use surveys in occupancy modelling</w:t>
      </w:r>
    </w:p>
    <w:p>
      <w:pPr>
        <w:pStyle w:val="FirstParagraph"/>
      </w:pPr>
      <w:r>
        <w:t xml:space="preserve">Occupancy models for building performance simulation (BPS) turn observed or surveyed behaviour into schedules that a simulation engine can read [1, 2]. Deterministic models apply fixed schedules such as those of the ASHRAE prototype buildings, stochastic models such as Markov chains draw presence and activity from transition probabilities, and data-driven models learn patterns from large samples [3, 4]. Residential occupancy is harder to model than commercial occupancy, because household routines are not set by opening hours and differ between members of the same household [5–7].</w:t>
      </w:r>
    </w:p>
    <w:p>
      <w:pPr>
        <w:pStyle w:val="BodyText"/>
      </w:pPr>
      <w:r>
        <w:t xml:space="preserve">National time-use surveys (TUS) are the main empirical source for residential schedules. A respondent records every activity of one day, with its location and the people present, so a diary gives presence, activity and co-presence at a fine time step and can be linked to the respondent’s age, employment and household [3, 8]; recent models resolve it down to the room [9]. The modelling lineage starts with Markov-chain models of occupancy and domestic activity built from the UK survey [10, 11] and continues with clustering of diaries into household archetypes [12], household profiles from national surveys [13] and activity-based profiles from the American Time Use Survey (ATUS) [14, 15]. Vosoughkhosravi et al. [8] review how the ATUS has been used to model energy-related occupant–building interactions, and Osman and Ouf [3] review TUS-based occupancy modelling more broadly. Two limits recur in these reviews. A diary covers a single day, so it says little about seasonal or long-term habits [16, 17], and most models are fitted to one survey year and then used as if behaviour were fixed.</w:t>
      </w:r>
    </w:p>
    <w:bookmarkEnd w:id="44"/>
    <w:bookmarkStart w:id="45" w:name="Xb853826cf033556136b7d0132773649351f3166"/>
    <w:p>
      <w:pPr>
        <w:pStyle w:val="Heading2"/>
      </w:pPr>
      <w:r>
        <w:t xml:space="preserve">1.2 Longitudinal and multi-cycle time-use studies</w:t>
      </w:r>
    </w:p>
    <w:p>
      <w:pPr>
        <w:pStyle w:val="FirstParagraph"/>
      </w:pPr>
      <w:r>
        <w:t xml:space="preserve">A smaller group of studies uses several cycles of the same survey to follow change over time. Sekar et al. [18] compared ATUS years 2003 to 2012 and found that Americans spent more time at home in 2012 than in 2003, and less time travelling and in non-residential buildings, with consequences for energy use across sectors. Anderson and Torriti [19] used four UK time-use surveys from 1974 to 2014 to explain shifts in the timing of residential electricity demand. Yin et al. [20] fitted logistic regression models of activity probability to five Japanese surveys from 2001 to 2021 and found that time spent on sleep, work and housework fell across demographic groups in 2021, with a lower probability of night-time sleep. Dias dos Santos et al. [21] harmonised seven cycles of the Canadian General Social Survey (GSS) time-use module, from 1986 to 2022, into an open data set on active travel. In Canada, Osman et al. [22] built a stochastic bottom-up load-profile generator for household electricity demand. Other work pools several ATUS years into one sample rather than comparing them [23, 24].</w:t>
      </w:r>
    </w:p>
    <w:p>
      <w:pPr>
        <w:pStyle w:val="BodyText"/>
      </w:pPr>
      <w:r>
        <w:t xml:space="preserve">Table 1 places these studies side by side. They describe change between survey years, but none projects the schedules beyond the last survey, none tests such a projection against a later observation, and only some carry the schedules into a building simulation.</w:t>
      </w:r>
    </w:p>
    <w:p>
      <w:pPr>
        <w:pStyle w:val="BodyText"/>
      </w:pPr>
      <w:r>
        <w:t xml:space="preserve">Table 1. Position of this study among time-use studies used for building energy (full references in the reference list).</w:t>
      </w:r>
    </w:p>
    <w:tbl>
      <w:tblPr>
        <w:tblStyle w:val="Table"/>
        <w:tblW w:type="pct" w:w="5000"/>
        <w:tblLayout w:type="fixed"/>
        <w:tblCellMar>
          <w:left w:w="72" w:type="dxa"/>
          <w:right w:w="72" w:type="dxa"/>
        </w:tblCellMar>
        <w:tblLook w:firstRow="1" w:lastRow="0" w:firstColumn="0" w:lastColumn="0" w:noHBand="0" w:noVBand="0" w:val="0020"/>
      </w:tblPr>
      <w:tblGrid>
        <w:gridCol w:w="1776"/>
        <w:gridCol w:w="904"/>
        <w:gridCol w:w="1189"/>
        <w:gridCol w:w="1828"/>
        <w:gridCol w:w="1094"/>
        <w:gridCol w:w="1094"/>
        <w:gridCol w:w="1475"/>
      </w:tblGrid>
      <w:tr>
        <w:trPr>
          <w:tblHeader w:val="on"/>
        </w:trPr>
        <w:tc>
          <w:tcPr>
            <w:tcW w:w="1776" w:type="dxa"/>
          </w:tcPr>
          <w:tcPr/>
          <w:p>
            <w:pPr>
              <w:spacing w:after="0" w:line="240" w:lineRule="auto"/>
              <w:pStyle w:val="Compact"/>
              <w:jc w:val="left"/>
            </w:pPr>
            <w:r>
              <w:rPr>
                <w:sz w:val="20"/>
                <w:szCs w:val="20"/>
              </w:rPr>
              <w:t xml:space="preserve">Study</w:t>
            </w:r>
          </w:p>
        </w:tc>
        <w:tc>
          <w:tcPr>
            <w:tcW w:w="904" w:type="dxa"/>
          </w:tcPr>
          <w:tcPr/>
          <w:p>
            <w:pPr>
              <w:spacing w:after="0" w:line="240" w:lineRule="auto"/>
              <w:pStyle w:val="Compact"/>
              <w:jc w:val="left"/>
            </w:pPr>
            <w:r>
              <w:rPr>
                <w:sz w:val="20"/>
                <w:szCs w:val="20"/>
              </w:rPr>
              <w:t xml:space="preserve">Survey and country</w:t>
            </w:r>
          </w:p>
        </w:tc>
        <w:tc>
          <w:tcPr>
            <w:tcW w:w="1189" w:type="dxa"/>
          </w:tcPr>
          <w:tcPr/>
          <w:p>
            <w:pPr>
              <w:spacing w:after="0" w:line="240" w:lineRule="auto"/>
              <w:pStyle w:val="Compact"/>
              <w:jc w:val="left"/>
            </w:pPr>
            <w:r>
              <w:rPr>
                <w:sz w:val="20"/>
                <w:szCs w:val="20"/>
              </w:rPr>
              <w:t xml:space="preserve">Cycles used</w:t>
            </w:r>
          </w:p>
        </w:tc>
        <w:tc>
          <w:tcPr>
            <w:tcW w:w="1828" w:type="dxa"/>
          </w:tcPr>
          <w:tcPr/>
          <w:p>
            <w:pPr>
              <w:spacing w:after="0" w:line="240" w:lineRule="auto"/>
              <w:pStyle w:val="Compact"/>
              <w:jc w:val="left"/>
            </w:pPr>
            <w:r>
              <w:rPr>
                <w:sz w:val="20"/>
                <w:szCs w:val="20"/>
              </w:rPr>
              <w:t xml:space="preserve">Unit modelled</w:t>
            </w:r>
          </w:p>
        </w:tc>
        <w:tc>
          <w:tcPr>
            <w:tcW w:w="1094" w:type="dxa"/>
          </w:tcPr>
          <w:tcPr/>
          <w:p>
            <w:pPr>
              <w:spacing w:after="0" w:line="240" w:lineRule="auto"/>
              <w:pStyle w:val="Compact"/>
              <w:jc w:val="left"/>
            </w:pPr>
            <w:r>
              <w:rPr>
                <w:sz w:val="20"/>
                <w:szCs w:val="20"/>
              </w:rPr>
              <w:t xml:space="preserve">Projection beyond last survey</w:t>
            </w:r>
          </w:p>
        </w:tc>
        <w:tc>
          <w:tcPr>
            <w:tcW w:w="1094" w:type="dxa"/>
          </w:tcPr>
          <w:tcPr/>
          <w:p>
            <w:pPr>
              <w:spacing w:after="0" w:line="240" w:lineRule="auto"/>
              <w:pStyle w:val="Compact"/>
              <w:jc w:val="left"/>
            </w:pPr>
            <w:r>
              <w:rPr>
                <w:sz w:val="20"/>
                <w:szCs w:val="20"/>
              </w:rPr>
              <w:t xml:space="preserve">Projection tested against later data</w:t>
            </w:r>
          </w:p>
        </w:tc>
        <w:tc>
          <w:tcPr>
            <w:tcW w:w="1475" w:type="dxa"/>
          </w:tcPr>
          <w:tcPr/>
          <w:p>
            <w:pPr>
              <w:spacing w:after="0" w:line="240" w:lineRule="auto"/>
              <w:pStyle w:val="Compact"/>
              <w:jc w:val="left"/>
            </w:pPr>
            <w:r>
              <w:rPr>
                <w:sz w:val="20"/>
                <w:szCs w:val="20"/>
              </w:rPr>
              <w:t xml:space="preserve">Building simulation</w:t>
            </w:r>
          </w:p>
        </w:tc>
      </w:tr>
      <w:tr>
        <w:tc>
          <w:tcPr>
            <w:tcW w:w="1776" w:type="dxa"/>
          </w:tcPr>
          <w:tcPr/>
          <w:p>
            <w:pPr>
              <w:spacing w:after="0" w:line="240" w:lineRule="auto"/>
              <w:pStyle w:val="Compact"/>
              <w:jc w:val="left"/>
            </w:pPr>
            <w:r>
              <w:rPr>
                <w:sz w:val="20"/>
                <w:szCs w:val="20"/>
              </w:rPr>
              <w:t xml:space="preserve">Richardson et al. (2008) [10]</w:t>
            </w:r>
          </w:p>
        </w:tc>
        <w:tc>
          <w:tcPr>
            <w:tcW w:w="904" w:type="dxa"/>
          </w:tcPr>
          <w:tcPr/>
          <w:p>
            <w:pPr>
              <w:spacing w:after="0" w:line="240" w:lineRule="auto"/>
              <w:pStyle w:val="Compact"/>
              <w:jc w:val="left"/>
            </w:pPr>
            <w:r>
              <w:rPr>
                <w:sz w:val="20"/>
                <w:szCs w:val="20"/>
              </w:rPr>
              <w:t xml:space="preserve">UK TUS</w:t>
            </w:r>
          </w:p>
        </w:tc>
        <w:tc>
          <w:tcPr>
            <w:tcW w:w="1189" w:type="dxa"/>
          </w:tcPr>
          <w:tcPr/>
          <w:p>
            <w:pPr>
              <w:spacing w:after="0" w:line="240" w:lineRule="auto"/>
              <w:pStyle w:val="Compact"/>
              <w:jc w:val="left"/>
            </w:pPr>
            <w:r>
              <w:rPr>
                <w:sz w:val="20"/>
                <w:szCs w:val="20"/>
              </w:rPr>
              <w:t xml:space="preserve">1</w:t>
            </w:r>
          </w:p>
        </w:tc>
        <w:tc>
          <w:tcPr>
            <w:tcW w:w="1828" w:type="dxa"/>
          </w:tcPr>
          <w:tcPr/>
          <w:p>
            <w:pPr>
              <w:spacing w:after="0" w:line="240" w:lineRule="auto"/>
              <w:pStyle w:val="Compact"/>
              <w:jc w:val="left"/>
            </w:pPr>
            <w:r>
              <w:rPr>
                <w:sz w:val="20"/>
                <w:szCs w:val="20"/>
              </w:rPr>
              <w:t xml:space="preserve">Household occupancy (Markov)</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Demand model</w:t>
            </w:r>
          </w:p>
        </w:tc>
      </w:tr>
      <w:tr>
        <w:tc>
          <w:tcPr>
            <w:tcW w:w="1776" w:type="dxa"/>
          </w:tcPr>
          <w:tcPr/>
          <w:p>
            <w:pPr>
              <w:spacing w:after="0" w:line="240" w:lineRule="auto"/>
              <w:pStyle w:val="Compact"/>
              <w:jc w:val="left"/>
            </w:pPr>
            <w:r>
              <w:rPr>
                <w:sz w:val="20"/>
                <w:szCs w:val="20"/>
              </w:rPr>
              <w:t xml:space="preserve">Widén and Wäckelgård (2010) [11]</w:t>
            </w:r>
          </w:p>
        </w:tc>
        <w:tc>
          <w:tcPr>
            <w:tcW w:w="904" w:type="dxa"/>
          </w:tcPr>
          <w:tcPr/>
          <w:p>
            <w:pPr>
              <w:spacing w:after="0" w:line="240" w:lineRule="auto"/>
              <w:pStyle w:val="Compact"/>
              <w:jc w:val="left"/>
            </w:pPr>
            <w:r>
              <w:rPr>
                <w:sz w:val="20"/>
                <w:szCs w:val="20"/>
              </w:rPr>
              <w:t xml:space="preserve">Swedish TUS</w:t>
            </w:r>
          </w:p>
        </w:tc>
        <w:tc>
          <w:tcPr>
            <w:tcW w:w="1189" w:type="dxa"/>
          </w:tcPr>
          <w:tcPr/>
          <w:p>
            <w:pPr>
              <w:spacing w:after="0" w:line="240" w:lineRule="auto"/>
              <w:pStyle w:val="Compact"/>
              <w:jc w:val="left"/>
            </w:pPr>
            <w:r>
              <w:rPr>
                <w:sz w:val="20"/>
                <w:szCs w:val="20"/>
              </w:rPr>
              <w:t xml:space="preserve">1</w:t>
            </w:r>
          </w:p>
        </w:tc>
        <w:tc>
          <w:tcPr>
            <w:tcW w:w="1828" w:type="dxa"/>
          </w:tcPr>
          <w:tcPr/>
          <w:p>
            <w:pPr>
              <w:spacing w:after="0" w:line="240" w:lineRule="auto"/>
              <w:pStyle w:val="Compact"/>
              <w:jc w:val="left"/>
            </w:pPr>
            <w:r>
              <w:rPr>
                <w:sz w:val="20"/>
                <w:szCs w:val="20"/>
              </w:rPr>
              <w:t xml:space="preserve">Household activity (Markov)</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Electricity demand</w:t>
            </w:r>
          </w:p>
        </w:tc>
      </w:tr>
      <w:tr>
        <w:tc>
          <w:tcPr>
            <w:tcW w:w="1776" w:type="dxa"/>
          </w:tcPr>
          <w:tcPr/>
          <w:p>
            <w:pPr>
              <w:spacing w:after="0" w:line="240" w:lineRule="auto"/>
              <w:pStyle w:val="Compact"/>
              <w:jc w:val="left"/>
            </w:pPr>
            <w:r>
              <w:rPr>
                <w:sz w:val="20"/>
                <w:szCs w:val="20"/>
              </w:rPr>
              <w:t xml:space="preserve">Mitra et al. (2020) [15]</w:t>
            </w:r>
          </w:p>
        </w:tc>
        <w:tc>
          <w:tcPr>
            <w:tcW w:w="904" w:type="dxa"/>
          </w:tcPr>
          <w:tcPr/>
          <w:p>
            <w:pPr>
              <w:spacing w:after="0" w:line="240" w:lineRule="auto"/>
              <w:pStyle w:val="Compact"/>
              <w:jc w:val="left"/>
            </w:pPr>
            <w:r>
              <w:rPr>
                <w:sz w:val="20"/>
                <w:szCs w:val="20"/>
              </w:rPr>
              <w:t xml:space="preserve">US ATUS</w:t>
            </w:r>
          </w:p>
        </w:tc>
        <w:tc>
          <w:tcPr>
            <w:tcW w:w="1189" w:type="dxa"/>
          </w:tcPr>
          <w:tcPr/>
          <w:p>
            <w:pPr>
              <w:spacing w:after="0" w:line="240" w:lineRule="auto"/>
              <w:pStyle w:val="Compact"/>
              <w:jc w:val="left"/>
            </w:pPr>
            <w:r>
              <w:rPr>
                <w:sz w:val="20"/>
                <w:szCs w:val="20"/>
              </w:rPr>
              <w:t xml:space="preserve">Several years, pooled by type</w:t>
            </w:r>
          </w:p>
        </w:tc>
        <w:tc>
          <w:tcPr>
            <w:tcW w:w="1828" w:type="dxa"/>
          </w:tcPr>
          <w:tcPr/>
          <w:p>
            <w:pPr>
              <w:spacing w:after="0" w:line="240" w:lineRule="auto"/>
              <w:pStyle w:val="Compact"/>
              <w:jc w:val="left"/>
            </w:pPr>
            <w:r>
              <w:rPr>
                <w:sz w:val="20"/>
                <w:szCs w:val="20"/>
              </w:rPr>
              <w:t xml:space="preserve">Individual occupancy profiles</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Comparison with standard schedules</w:t>
            </w:r>
          </w:p>
        </w:tc>
      </w:tr>
      <w:tr>
        <w:tc>
          <w:tcPr>
            <w:tcW w:w="1776" w:type="dxa"/>
          </w:tcPr>
          <w:tcPr/>
          <w:p>
            <w:pPr>
              <w:spacing w:after="0" w:line="240" w:lineRule="auto"/>
              <w:pStyle w:val="Compact"/>
              <w:jc w:val="left"/>
            </w:pPr>
            <w:r>
              <w:rPr>
                <w:sz w:val="20"/>
                <w:szCs w:val="20"/>
              </w:rPr>
              <w:t xml:space="preserve">Sekar et al. (2018) [18]</w:t>
            </w:r>
          </w:p>
        </w:tc>
        <w:tc>
          <w:tcPr>
            <w:tcW w:w="904" w:type="dxa"/>
          </w:tcPr>
          <w:tcPr/>
          <w:p>
            <w:pPr>
              <w:spacing w:after="0" w:line="240" w:lineRule="auto"/>
              <w:pStyle w:val="Compact"/>
              <w:jc w:val="left"/>
            </w:pPr>
            <w:r>
              <w:rPr>
                <w:sz w:val="20"/>
                <w:szCs w:val="20"/>
              </w:rPr>
              <w:t xml:space="preserve">US ATUS</w:t>
            </w:r>
          </w:p>
        </w:tc>
        <w:tc>
          <w:tcPr>
            <w:tcW w:w="1189" w:type="dxa"/>
          </w:tcPr>
          <w:tcPr/>
          <w:p>
            <w:pPr>
              <w:spacing w:after="0" w:line="240" w:lineRule="auto"/>
              <w:pStyle w:val="Compact"/>
              <w:jc w:val="left"/>
            </w:pPr>
            <w:r>
              <w:rPr>
                <w:sz w:val="20"/>
                <w:szCs w:val="20"/>
              </w:rPr>
              <w:t xml:space="preserve">10 (2003–2012)</w:t>
            </w:r>
          </w:p>
        </w:tc>
        <w:tc>
          <w:tcPr>
            <w:tcW w:w="1828" w:type="dxa"/>
          </w:tcPr>
          <w:tcPr/>
          <w:p>
            <w:pPr>
              <w:spacing w:after="0" w:line="240" w:lineRule="auto"/>
              <w:pStyle w:val="Compact"/>
              <w:jc w:val="left"/>
            </w:pPr>
            <w:r>
              <w:rPr>
                <w:sz w:val="20"/>
                <w:szCs w:val="20"/>
              </w:rPr>
              <w:t xml:space="preserve">Individual time use</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Energy accounting, no BPS</w:t>
            </w:r>
          </w:p>
        </w:tc>
      </w:tr>
      <w:tr>
        <w:tc>
          <w:tcPr>
            <w:tcW w:w="1776" w:type="dxa"/>
          </w:tcPr>
          <w:tcPr/>
          <w:p>
            <w:pPr>
              <w:spacing w:after="0" w:line="240" w:lineRule="auto"/>
              <w:pStyle w:val="Compact"/>
              <w:jc w:val="left"/>
            </w:pPr>
            <w:r>
              <w:rPr>
                <w:sz w:val="20"/>
                <w:szCs w:val="20"/>
              </w:rPr>
              <w:t xml:space="preserve">Anderson and Torriti (2018) [19]</w:t>
            </w:r>
          </w:p>
        </w:tc>
        <w:tc>
          <w:tcPr>
            <w:tcW w:w="904" w:type="dxa"/>
          </w:tcPr>
          <w:tcPr/>
          <w:p>
            <w:pPr>
              <w:spacing w:after="0" w:line="240" w:lineRule="auto"/>
              <w:pStyle w:val="Compact"/>
              <w:jc w:val="left"/>
            </w:pPr>
            <w:r>
              <w:rPr>
                <w:sz w:val="20"/>
                <w:szCs w:val="20"/>
              </w:rPr>
              <w:t xml:space="preserve">UK TUS</w:t>
            </w:r>
          </w:p>
        </w:tc>
        <w:tc>
          <w:tcPr>
            <w:tcW w:w="1189" w:type="dxa"/>
          </w:tcPr>
          <w:tcPr/>
          <w:p>
            <w:pPr>
              <w:spacing w:after="0" w:line="240" w:lineRule="auto"/>
              <w:pStyle w:val="Compact"/>
              <w:jc w:val="left"/>
            </w:pPr>
            <w:r>
              <w:rPr>
                <w:sz w:val="20"/>
                <w:szCs w:val="20"/>
              </w:rPr>
              <w:t xml:space="preserve">4 (1974–2014)</w:t>
            </w:r>
          </w:p>
        </w:tc>
        <w:tc>
          <w:tcPr>
            <w:tcW w:w="1828" w:type="dxa"/>
          </w:tcPr>
          <w:tcPr/>
          <w:p>
            <w:pPr>
              <w:spacing w:after="0" w:line="240" w:lineRule="auto"/>
              <w:pStyle w:val="Compact"/>
              <w:jc w:val="left"/>
            </w:pPr>
            <w:r>
              <w:rPr>
                <w:sz w:val="20"/>
                <w:szCs w:val="20"/>
              </w:rPr>
              <w:t xml:space="preserve">Activity timing</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Electricity demand, no BPS</w:t>
            </w:r>
          </w:p>
        </w:tc>
      </w:tr>
      <w:tr>
        <w:tc>
          <w:tcPr>
            <w:tcW w:w="1776" w:type="dxa"/>
          </w:tcPr>
          <w:tcPr/>
          <w:p>
            <w:pPr>
              <w:spacing w:after="0" w:line="240" w:lineRule="auto"/>
              <w:pStyle w:val="Compact"/>
              <w:jc w:val="left"/>
            </w:pPr>
            <w:r>
              <w:rPr>
                <w:sz w:val="20"/>
                <w:szCs w:val="20"/>
              </w:rPr>
              <w:t xml:space="preserve">Yin et al. (2024) [20]</w:t>
            </w:r>
          </w:p>
        </w:tc>
        <w:tc>
          <w:tcPr>
            <w:tcW w:w="904" w:type="dxa"/>
          </w:tcPr>
          <w:tcPr/>
          <w:p>
            <w:pPr>
              <w:spacing w:after="0" w:line="240" w:lineRule="auto"/>
              <w:pStyle w:val="Compact"/>
              <w:jc w:val="left"/>
            </w:pPr>
            <w:r>
              <w:rPr>
                <w:sz w:val="20"/>
                <w:szCs w:val="20"/>
              </w:rPr>
              <w:t xml:space="preserve">Japanese STULA</w:t>
            </w:r>
          </w:p>
        </w:tc>
        <w:tc>
          <w:tcPr>
            <w:tcW w:w="1189" w:type="dxa"/>
          </w:tcPr>
          <w:tcPr/>
          <w:p>
            <w:pPr>
              <w:spacing w:after="0" w:line="240" w:lineRule="auto"/>
              <w:pStyle w:val="Compact"/>
              <w:jc w:val="left"/>
            </w:pPr>
            <w:r>
              <w:rPr>
                <w:sz w:val="20"/>
                <w:szCs w:val="20"/>
              </w:rPr>
              <w:t xml:space="preserve">5 (2001–2021)</w:t>
            </w:r>
          </w:p>
        </w:tc>
        <w:tc>
          <w:tcPr>
            <w:tcW w:w="1828" w:type="dxa"/>
          </w:tcPr>
          <w:tcPr/>
          <w:p>
            <w:pPr>
              <w:spacing w:after="0" w:line="240" w:lineRule="auto"/>
              <w:pStyle w:val="Compact"/>
              <w:jc w:val="left"/>
            </w:pPr>
            <w:r>
              <w:rPr>
                <w:sz w:val="20"/>
                <w:szCs w:val="20"/>
              </w:rPr>
              <w:t xml:space="preserve">Activity probability by group</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No</w:t>
            </w:r>
          </w:p>
        </w:tc>
      </w:tr>
      <w:tr>
        <w:tc>
          <w:tcPr>
            <w:tcW w:w="1776" w:type="dxa"/>
          </w:tcPr>
          <w:tcPr/>
          <w:p>
            <w:pPr>
              <w:spacing w:after="0" w:line="240" w:lineRule="auto"/>
              <w:pStyle w:val="Compact"/>
              <w:jc w:val="left"/>
            </w:pPr>
            <w:r>
              <w:rPr>
                <w:sz w:val="20"/>
                <w:szCs w:val="20"/>
              </w:rPr>
              <w:t xml:space="preserve">Dias dos Santos et al. (2025) [21]</w:t>
            </w:r>
          </w:p>
        </w:tc>
        <w:tc>
          <w:tcPr>
            <w:tcW w:w="904" w:type="dxa"/>
          </w:tcPr>
          <w:tcPr/>
          <w:p>
            <w:pPr>
              <w:spacing w:after="0" w:line="240" w:lineRule="auto"/>
              <w:pStyle w:val="Compact"/>
              <w:jc w:val="left"/>
            </w:pPr>
            <w:r>
              <w:rPr>
                <w:sz w:val="20"/>
                <w:szCs w:val="20"/>
              </w:rPr>
              <w:t xml:space="preserve">Canadian GSS</w:t>
            </w:r>
          </w:p>
        </w:tc>
        <w:tc>
          <w:tcPr>
            <w:tcW w:w="1189" w:type="dxa"/>
          </w:tcPr>
          <w:tcPr/>
          <w:p>
            <w:pPr>
              <w:spacing w:after="0" w:line="240" w:lineRule="auto"/>
              <w:pStyle w:val="Compact"/>
              <w:jc w:val="left"/>
            </w:pPr>
            <w:r>
              <w:rPr>
                <w:sz w:val="20"/>
                <w:szCs w:val="20"/>
              </w:rPr>
              <w:t xml:space="preserve">7 (1986–2022)</w:t>
            </w:r>
          </w:p>
        </w:tc>
        <w:tc>
          <w:tcPr>
            <w:tcW w:w="1828" w:type="dxa"/>
          </w:tcPr>
          <w:tcPr/>
          <w:p>
            <w:pPr>
              <w:spacing w:after="0" w:line="240" w:lineRule="auto"/>
              <w:pStyle w:val="Compact"/>
              <w:jc w:val="left"/>
            </w:pPr>
            <w:r>
              <w:rPr>
                <w:sz w:val="20"/>
                <w:szCs w:val="20"/>
              </w:rPr>
              <w:t xml:space="preserve">Active-travel episodes</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No</w:t>
            </w:r>
          </w:p>
        </w:tc>
      </w:tr>
      <w:tr>
        <w:tc>
          <w:tcPr>
            <w:tcW w:w="1776" w:type="dxa"/>
          </w:tcPr>
          <w:tcPr/>
          <w:p>
            <w:pPr>
              <w:spacing w:after="0" w:line="240" w:lineRule="auto"/>
              <w:pStyle w:val="Compact"/>
              <w:jc w:val="left"/>
            </w:pPr>
            <w:r>
              <w:rPr>
                <w:sz w:val="20"/>
                <w:szCs w:val="20"/>
              </w:rPr>
              <w:t xml:space="preserve">This study</w:t>
            </w:r>
          </w:p>
        </w:tc>
        <w:tc>
          <w:tcPr>
            <w:tcW w:w="904" w:type="dxa"/>
          </w:tcPr>
          <w:tcPr/>
          <w:p>
            <w:pPr>
              <w:spacing w:after="0" w:line="240" w:lineRule="auto"/>
              <w:pStyle w:val="Compact"/>
              <w:jc w:val="left"/>
            </w:pPr>
            <w:r>
              <w:rPr>
                <w:sz w:val="20"/>
                <w:szCs w:val="20"/>
              </w:rPr>
              <w:t xml:space="preserve">Canadian GSS + Census</w:t>
            </w:r>
          </w:p>
        </w:tc>
        <w:tc>
          <w:tcPr>
            <w:tcW w:w="1189" w:type="dxa"/>
          </w:tcPr>
          <w:tcPr/>
          <w:p>
            <w:pPr>
              <w:spacing w:after="0" w:line="240" w:lineRule="auto"/>
              <w:pStyle w:val="Compact"/>
              <w:jc w:val="left"/>
            </w:pPr>
            <w:r>
              <w:rPr>
                <w:sz w:val="20"/>
                <w:szCs w:val="20"/>
              </w:rPr>
              <w:t xml:space="preserve">4 (2005–2022)</w:t>
            </w:r>
          </w:p>
        </w:tc>
        <w:tc>
          <w:tcPr>
            <w:tcW w:w="1828" w:type="dxa"/>
          </w:tcPr>
          <w:tcPr/>
          <w:p>
            <w:pPr>
              <w:spacing w:after="0" w:line="240" w:lineRule="auto"/>
              <w:pStyle w:val="Compact"/>
              <w:jc w:val="left"/>
            </w:pPr>
            <w:r>
              <w:rPr>
                <w:sz w:val="20"/>
                <w:szCs w:val="20"/>
              </w:rPr>
              <w:t xml:space="preserve">Household presence, activity, metabolic rate</w:t>
            </w:r>
          </w:p>
        </w:tc>
        <w:tc>
          <w:tcPr>
            <w:tcW w:w="1094" w:type="dxa"/>
          </w:tcPr>
          <w:tcPr/>
          <w:p>
            <w:pPr>
              <w:spacing w:after="0" w:line="240" w:lineRule="auto"/>
              <w:pStyle w:val="Compact"/>
              <w:jc w:val="left"/>
            </w:pPr>
            <w:r>
              <w:rPr>
                <w:sz w:val="20"/>
                <w:szCs w:val="20"/>
              </w:rPr>
              <w:t xml:space="preserve">Yes (2025)</w:t>
            </w:r>
          </w:p>
        </w:tc>
        <w:tc>
          <w:tcPr>
            <w:tcW w:w="1094" w:type="dxa"/>
          </w:tcPr>
          <w:tcPr/>
          <w:p>
            <w:pPr>
              <w:spacing w:after="0" w:line="240" w:lineRule="auto"/>
              <w:pStyle w:val="Compact"/>
              <w:jc w:val="left"/>
            </w:pPr>
            <w:r>
              <w:rPr>
                <w:sz w:val="20"/>
                <w:szCs w:val="20"/>
              </w:rPr>
              <w:t xml:space="preserve">Yes (2016→2021 hindcast)</w:t>
            </w:r>
          </w:p>
        </w:tc>
        <w:tc>
          <w:tcPr>
            <w:tcW w:w="1475" w:type="dxa"/>
          </w:tcPr>
          <w:tcPr/>
          <w:p>
            <w:pPr>
              <w:spacing w:after="0" w:line="240" w:lineRule="auto"/>
              <w:pStyle w:val="Compact"/>
              <w:jc w:val="left"/>
            </w:pPr>
            <w:r>
              <w:rPr>
                <w:sz w:val="20"/>
                <w:szCs w:val="20"/>
              </w:rPr>
              <w:t xml:space="preserve">EnergyPlus, six neighbourhoods</w:t>
            </w:r>
          </w:p>
        </w:tc>
      </w:tr>
    </w:tbl>
    <w:bookmarkEnd w:id="45"/>
    <w:bookmarkStart w:id="46" w:name="gap-aim-and-contribution"/>
    <w:p>
      <w:pPr>
        <w:pStyle w:val="Heading2"/>
      </w:pPr>
      <w:r>
        <w:t xml:space="preserve">1.3 Gap, aim and contribution</w:t>
      </w:r>
    </w:p>
    <w:p>
      <w:pPr>
        <w:pStyle w:val="FirstParagraph"/>
      </w:pPr>
      <w:r>
        <w:t xml:space="preserve">Prior TUS-based work either models a single survey cycle, or describes change across cycles without projecting beyond the last survey. This study harmonises four Canadian GSS cycles (2005, 2010, 2015 and 2022) into one household schedule format, links them to four Census cycles, and adds a generative projection of the household population past the last census, tested by a held-out-cycle hindcast. The contribution is the combination of these parts for Canada, across the COVID-19 break, at household level: a longitudinal-plus-projective occupant-behaviour pipeline rather than a new modelling paradigm.</w:t>
      </w:r>
    </w:p>
    <w:p>
      <w:pPr>
        <w:pStyle w:val="BodyText"/>
      </w:pPr>
      <w:r>
        <w:t xml:space="preserve">The study has three objectives:</w:t>
      </w:r>
    </w:p>
    <w:p>
      <w:pPr>
        <w:pStyle w:val="Compact"/>
        <w:numPr>
          <w:ilvl w:val="0"/>
          <w:numId w:val="1002"/>
        </w:numPr>
      </w:pPr>
      <w:r>
        <w:t xml:space="preserve">build household-level presence, activity and metabolic schedules for 2005, 2010, 2015 and 2022 from the GSS and Census, with the same definitions in every cycle;</w:t>
      </w:r>
    </w:p>
    <w:p>
      <w:pPr>
        <w:pStyle w:val="Compact"/>
        <w:numPr>
          <w:ilvl w:val="0"/>
          <w:numId w:val="1002"/>
        </w:numPr>
      </w:pPr>
      <w:r>
        <w:t xml:space="preserve">project the household population to 2025 with a conditional variational autoencoder (C-VAE) and a cluster-based drift model, and test that projection quantitatively against the 2021 Census and simple baselines;</w:t>
      </w:r>
    </w:p>
    <w:p>
      <w:pPr>
        <w:pStyle w:val="Compact"/>
        <w:numPr>
          <w:ilvl w:val="0"/>
          <w:numId w:val="1002"/>
        </w:numPr>
      </w:pPr>
      <w:r>
        <w:t xml:space="preserve">show whether the cycle-to-cycle differences in occupancy, and the projection, are large enough to change simulated heating, cooling and peak timing, under a fixed building and a fixed weather file.</w:t>
      </w:r>
    </w:p>
    <w:p>
      <w:pPr>
        <w:pStyle w:val="FirstParagraph"/>
      </w:pPr>
      <w:r>
        <w:t xml:space="preserve">The building simulation serves the third objective only. It is a demonstration for one cold-climate city (Montreal, climate zone 6A), not a stock model and not a basis for code factors.</w:t>
      </w:r>
    </w:p>
    <w:p>
      <w:pPr>
        <w:pStyle w:val="BodyText"/>
      </w:pPr>
      <w:r>
        <w:t xml:space="preserve">This paper shares its GSS and Census processing with a companion study by the same authors [25], which asks a different question: how household electricity load shapes change at stock scale across Canadian cycles and scenarios to 2030. The present paper is about the occupancy schedules themselves, their change across cycles, and the validity of the projected cohort; the companion paper takes schedules of this kind as its input. An earlier version of the schedule pipeline, covering the 2005, 2015 and 2025 cycles and one single-family house in three climate zones, was presented at eSim 2026 [26]; the present paper adds the 2010 and 2022 cycles, the hindcast test and the neighbourhood simulations, and its energy results, obtained with a corrected extraction, replace those of the conference paper.</w:t>
      </w:r>
    </w:p>
    <w:bookmarkEnd w:id="46"/>
    <w:bookmarkEnd w:id="47"/>
    <w:bookmarkStart w:id="52" w:name="data"/>
    <w:p>
      <w:pPr>
        <w:pStyle w:val="Heading1"/>
      </w:pPr>
      <w:r>
        <w:t xml:space="preserve">2 Data</w:t>
      </w:r>
    </w:p>
    <w:p>
      <w:pPr>
        <w:pStyle w:val="FirstParagraph"/>
      </w:pPr>
      <w:r>
        <w:t xml:space="preserve">The study combines two Statistics Canada microdata sources: the Census of Population public-use microdata files (PUMF), which give the structure of households, and the GSS time-use cycles, which give what people do and where they are over a day. Section 2.1 describes the Census files, Section 2.2 the GSS cycles, Section 2.3 how the two were harmonised, and Section 2.4 the regional scope.</w:t>
      </w:r>
    </w:p>
    <w:bookmarkStart w:id="48" w:name="X8abac0d81165f48c34066d5fd658bc28a3a1c41"/>
    <w:p>
      <w:pPr>
        <w:pStyle w:val="Heading2"/>
      </w:pPr>
      <w:r>
        <w:t xml:space="preserve">2.1 Census of Population PUMF (2006, 2011, 2016, 2021)</w:t>
      </w:r>
    </w:p>
    <w:p>
      <w:pPr>
        <w:pStyle w:val="FirstParagraph"/>
      </w:pPr>
      <w:r>
        <w:t xml:space="preserve">The hierarchical Census PUMF gives one record per person with household and dwelling identifiers, so households can be rebuilt from their members. Four cycles were used (Table 2). The 2011 cycle is the voluntary National Household Survey (NHS), whose response rate was 68.6 % [27]; the other three cycles come from the mandatory long-form census [28]. The PUMF identifies province and, for large cities, census metropolitan area (CMA); Montreal is CMA 462 in the 2016 and 2021 files.</w:t>
      </w:r>
    </w:p>
    <w:bookmarkEnd w:id="48"/>
    <w:bookmarkStart w:id="49" w:name="gss-time-use-cycles-2005-2010-2015-2022"/>
    <w:p>
      <w:pPr>
        <w:pStyle w:val="Heading2"/>
      </w:pPr>
      <w:r>
        <w:t xml:space="preserve">2.2 GSS time-use cycles (2005, 2010, 2015, 2022)</w:t>
      </w:r>
    </w:p>
    <w:p>
      <w:pPr>
        <w:pStyle w:val="FirstParagraph"/>
      </w:pPr>
      <w:r>
        <w:t xml:space="preserve">The GSS time-use cycles (Cycles 19, 24, 29 and 38) ask one person aged 15 or over per household to report a 24-hour diary of episodes, each with an activity code, a location and the people present [29]. The 2005 cycle had 19,597 respondents and a response rate of 58.6 % [30]; the 2015 cycle had 17,390 usable responses and a response rate of 38.2 % [31]. Table 2 gives the respondents and episodes retained after harmonisation. The 2022 cycle was collected after the COVID-19 pandemic and includes more detail on work done at home. Children under 15 have no diary.</w:t>
      </w:r>
    </w:p>
    <w:p>
      <w:pPr>
        <w:pStyle w:val="BodyText"/>
      </w:pPr>
      <w:r>
        <w:t xml:space="preserve">Table 2. Sample sizes per cycle (national; Quebec in brackets). Census counts are persons and private households in the PUMF file read by the pipeline; GSS counts are respondents and diary episodes retained after harmonisation; the last two rows are the households in the schedule files and the households simulated.</w:t>
      </w:r>
    </w:p>
    <w:tbl>
      <w:tblPr>
        <w:tblStyle w:val="Table"/>
        <w:tblW w:type="pct" w:w="5000"/>
        <w:tblLayout w:type="fixed"/>
        <w:tblCellMar>
          <w:left w:w="72" w:type="dxa"/>
          <w:right w:w="72" w:type="dxa"/>
        </w:tblCellMar>
        <w:tblLook w:firstRow="1" w:lastRow="0" w:firstColumn="0" w:lastColumn="0" w:noHBand="0" w:noVBand="0" w:val="0020"/>
      </w:tblPr>
      <w:tblGrid>
        <w:gridCol w:w="2528"/>
        <w:gridCol w:w="2418"/>
        <w:gridCol w:w="1201"/>
        <w:gridCol w:w="1201"/>
        <w:gridCol w:w="1201"/>
        <w:gridCol w:w="811"/>
      </w:tblGrid>
      <w:tr>
        <w:trPr>
          <w:tblHeader w:val="on"/>
        </w:trPr>
        <w:tc>
          <w:tcPr>
            <w:tcW w:w="2528" w:type="dxa"/>
          </w:tcPr>
          <w:tcPr/>
          <w:p>
            <w:pPr>
              <w:spacing w:after="0" w:line="240" w:lineRule="auto"/>
              <w:pStyle w:val="Compact"/>
            </w:pPr>
          </w:p>
        </w:tc>
        <w:tc>
          <w:tcPr>
            <w:tcW w:w="2418" w:type="dxa"/>
          </w:tcPr>
          <w:tcPr/>
          <w:p>
            <w:pPr>
              <w:spacing w:after="0" w:line="240" w:lineRule="auto"/>
              <w:pStyle w:val="Compact"/>
              <w:jc w:val="right"/>
            </w:pPr>
            <w:r>
              <w:rPr>
                <w:sz w:val="20"/>
                <w:szCs w:val="20"/>
              </w:rPr>
              <w:t xml:space="preserve">2005 / 2006</w:t>
            </w:r>
          </w:p>
        </w:tc>
        <w:tc>
          <w:tcPr>
            <w:tcW w:w="1201" w:type="dxa"/>
          </w:tcPr>
          <w:tcPr/>
          <w:p>
            <w:pPr>
              <w:spacing w:after="0" w:line="240" w:lineRule="auto"/>
              <w:pStyle w:val="Compact"/>
              <w:jc w:val="right"/>
            </w:pPr>
            <w:r>
              <w:rPr>
                <w:sz w:val="20"/>
                <w:szCs w:val="20"/>
              </w:rPr>
              <w:t xml:space="preserve">2010 / 2011</w:t>
            </w:r>
          </w:p>
        </w:tc>
        <w:tc>
          <w:tcPr>
            <w:tcW w:w="1201" w:type="dxa"/>
          </w:tcPr>
          <w:tcPr/>
          <w:p>
            <w:pPr>
              <w:spacing w:after="0" w:line="240" w:lineRule="auto"/>
              <w:pStyle w:val="Compact"/>
              <w:jc w:val="right"/>
            </w:pPr>
            <w:r>
              <w:rPr>
                <w:sz w:val="20"/>
                <w:szCs w:val="20"/>
              </w:rPr>
              <w:t xml:space="preserve">2015 / 2016</w:t>
            </w:r>
          </w:p>
        </w:tc>
        <w:tc>
          <w:tcPr>
            <w:tcW w:w="1201" w:type="dxa"/>
          </w:tcPr>
          <w:tcPr/>
          <w:p>
            <w:pPr>
              <w:spacing w:after="0" w:line="240" w:lineRule="auto"/>
              <w:pStyle w:val="Compact"/>
              <w:jc w:val="right"/>
            </w:pPr>
            <w:r>
              <w:rPr>
                <w:sz w:val="20"/>
                <w:szCs w:val="20"/>
              </w:rPr>
              <w:t xml:space="preserve">2022 / 2021</w:t>
            </w:r>
          </w:p>
        </w:tc>
        <w:tc>
          <w:tcPr>
            <w:tcW w:w="811" w:type="dxa"/>
          </w:tcPr>
          <w:tcPr/>
          <w:p>
            <w:pPr>
              <w:spacing w:after="0" w:line="240" w:lineRule="auto"/>
              <w:pStyle w:val="Compact"/>
              <w:jc w:val="right"/>
            </w:pPr>
            <w:r>
              <w:rPr>
                <w:sz w:val="20"/>
                <w:szCs w:val="20"/>
              </w:rPr>
              <w:t xml:space="preserve">2025</w:t>
            </w:r>
          </w:p>
        </w:tc>
      </w:tr>
      <w:tr>
        <w:tc>
          <w:tcPr>
            <w:tcW w:w="2528" w:type="dxa"/>
          </w:tcPr>
          <w:tcPr/>
          <w:p>
            <w:pPr>
              <w:spacing w:after="0" w:line="240" w:lineRule="auto"/>
              <w:pStyle w:val="Compact"/>
              <w:jc w:val="left"/>
            </w:pPr>
            <w:r>
              <w:rPr>
                <w:sz w:val="20"/>
                <w:szCs w:val="20"/>
              </w:rPr>
              <w:t xml:space="preserve">Census persons</w:t>
            </w:r>
          </w:p>
        </w:tc>
        <w:tc>
          <w:tcPr>
            <w:tcW w:w="2418" w:type="dxa"/>
          </w:tcPr>
          <w:tcPr/>
          <w:p>
            <w:pPr>
              <w:spacing w:after="0" w:line="240" w:lineRule="auto"/>
              <w:pStyle w:val="Compact"/>
              <w:jc w:val="right"/>
            </w:pPr>
            <w:r>
              <w:rPr>
                <w:sz w:val="20"/>
                <w:szCs w:val="20"/>
              </w:rPr>
              <w:t xml:space="preserve">309,841 (73,860)</w:t>
            </w:r>
          </w:p>
        </w:tc>
        <w:tc>
          <w:tcPr>
            <w:tcW w:w="1201" w:type="dxa"/>
          </w:tcPr>
          <w:tcPr/>
          <w:p>
            <w:pPr>
              <w:spacing w:after="0" w:line="240" w:lineRule="auto"/>
              <w:pStyle w:val="Compact"/>
              <w:jc w:val="right"/>
            </w:pPr>
            <w:r>
              <w:rPr>
                <w:sz w:val="20"/>
                <w:szCs w:val="20"/>
              </w:rPr>
              <w:t xml:space="preserve">333,008 (79,580)</w:t>
            </w:r>
          </w:p>
        </w:tc>
        <w:tc>
          <w:tcPr>
            <w:tcW w:w="1201" w:type="dxa"/>
          </w:tcPr>
          <w:tcPr/>
          <w:p>
            <w:pPr>
              <w:spacing w:after="0" w:line="240" w:lineRule="auto"/>
              <w:pStyle w:val="Compact"/>
              <w:jc w:val="right"/>
            </w:pPr>
            <w:r>
              <w:rPr>
                <w:sz w:val="20"/>
                <w:szCs w:val="20"/>
              </w:rPr>
              <w:t xml:space="preserve">343,330 (79,498)</w:t>
            </w:r>
          </w:p>
        </w:tc>
        <w:tc>
          <w:tcPr>
            <w:tcW w:w="1201" w:type="dxa"/>
          </w:tcPr>
          <w:tcPr/>
          <w:p>
            <w:pPr>
              <w:spacing w:after="0" w:line="240" w:lineRule="auto"/>
              <w:pStyle w:val="Compact"/>
              <w:jc w:val="right"/>
            </w:pPr>
            <w:r>
              <w:rPr>
                <w:sz w:val="20"/>
                <w:szCs w:val="20"/>
              </w:rPr>
              <w:t xml:space="preserve">361,915 (82,992)</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Census households</w:t>
            </w:r>
          </w:p>
        </w:tc>
        <w:tc>
          <w:tcPr>
            <w:tcW w:w="2418" w:type="dxa"/>
          </w:tcPr>
          <w:tcPr/>
          <w:p>
            <w:pPr>
              <w:spacing w:after="0" w:line="240" w:lineRule="auto"/>
              <w:pStyle w:val="Compact"/>
              <w:jc w:val="right"/>
            </w:pPr>
            <w:r>
              <w:rPr>
                <w:sz w:val="20"/>
                <w:szCs w:val="20"/>
              </w:rPr>
              <w:t xml:space="preserve">124,358 (31,895)</w:t>
            </w:r>
          </w:p>
        </w:tc>
        <w:tc>
          <w:tcPr>
            <w:tcW w:w="1201" w:type="dxa"/>
          </w:tcPr>
          <w:tcPr/>
          <w:p>
            <w:pPr>
              <w:spacing w:after="0" w:line="240" w:lineRule="auto"/>
              <w:pStyle w:val="Compact"/>
              <w:jc w:val="right"/>
            </w:pPr>
            <w:r>
              <w:rPr>
                <w:sz w:val="20"/>
                <w:szCs w:val="20"/>
              </w:rPr>
              <w:t xml:space="preserve">133,192 (34,458)</w:t>
            </w:r>
          </w:p>
        </w:tc>
        <w:tc>
          <w:tcPr>
            <w:tcW w:w="1201" w:type="dxa"/>
          </w:tcPr>
          <w:tcPr/>
          <w:p>
            <w:pPr>
              <w:spacing w:after="0" w:line="240" w:lineRule="auto"/>
              <w:pStyle w:val="Compact"/>
              <w:jc w:val="right"/>
            </w:pPr>
            <w:r>
              <w:rPr>
                <w:sz w:val="20"/>
                <w:szCs w:val="20"/>
              </w:rPr>
              <w:t xml:space="preserve">140,720 (35,306)</w:t>
            </w:r>
          </w:p>
        </w:tc>
        <w:tc>
          <w:tcPr>
            <w:tcW w:w="1201" w:type="dxa"/>
          </w:tcPr>
          <w:tcPr/>
          <w:p>
            <w:pPr>
              <w:spacing w:after="0" w:line="240" w:lineRule="auto"/>
              <w:pStyle w:val="Compact"/>
              <w:jc w:val="right"/>
            </w:pPr>
            <w:r>
              <w:rPr>
                <w:sz w:val="20"/>
                <w:szCs w:val="20"/>
              </w:rPr>
              <w:t xml:space="preserve">149,789 (37,512)</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GSS respondents retained</w:t>
            </w:r>
          </w:p>
        </w:tc>
        <w:tc>
          <w:tcPr>
            <w:tcW w:w="2418" w:type="dxa"/>
          </w:tcPr>
          <w:tcPr/>
          <w:p>
            <w:pPr>
              <w:spacing w:after="0" w:line="240" w:lineRule="auto"/>
              <w:pStyle w:val="Compact"/>
              <w:jc w:val="right"/>
            </w:pPr>
            <w:r>
              <w:rPr>
                <w:sz w:val="20"/>
                <w:szCs w:val="20"/>
              </w:rPr>
              <w:t xml:space="preserve">13,519 (2,717)</w:t>
            </w:r>
          </w:p>
        </w:tc>
        <w:tc>
          <w:tcPr>
            <w:tcW w:w="1201" w:type="dxa"/>
          </w:tcPr>
          <w:tcPr/>
          <w:p>
            <w:pPr>
              <w:spacing w:after="0" w:line="240" w:lineRule="auto"/>
              <w:pStyle w:val="Compact"/>
              <w:jc w:val="right"/>
            </w:pPr>
            <w:r>
              <w:rPr>
                <w:sz w:val="20"/>
                <w:szCs w:val="20"/>
              </w:rPr>
              <w:t xml:space="preserve">11,748 (1,798)</w:t>
            </w:r>
          </w:p>
        </w:tc>
        <w:tc>
          <w:tcPr>
            <w:tcW w:w="1201" w:type="dxa"/>
          </w:tcPr>
          <w:tcPr/>
          <w:p>
            <w:pPr>
              <w:spacing w:after="0" w:line="240" w:lineRule="auto"/>
              <w:pStyle w:val="Compact"/>
              <w:jc w:val="right"/>
            </w:pPr>
            <w:r>
              <w:rPr>
                <w:sz w:val="20"/>
                <w:szCs w:val="20"/>
              </w:rPr>
              <w:t xml:space="preserve">15,240 (3,139)</w:t>
            </w:r>
          </w:p>
        </w:tc>
        <w:tc>
          <w:tcPr>
            <w:tcW w:w="1201" w:type="dxa"/>
          </w:tcPr>
          <w:tcPr/>
          <w:p>
            <w:pPr>
              <w:spacing w:after="0" w:line="240" w:lineRule="auto"/>
              <w:pStyle w:val="Compact"/>
              <w:jc w:val="right"/>
            </w:pPr>
            <w:r>
              <w:rPr>
                <w:sz w:val="20"/>
                <w:szCs w:val="20"/>
              </w:rPr>
              <w:t xml:space="preserve">10,618 (2,084)</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GSS diary episodes retained</w:t>
            </w:r>
          </w:p>
        </w:tc>
        <w:tc>
          <w:tcPr>
            <w:tcW w:w="2418" w:type="dxa"/>
          </w:tcPr>
          <w:tcPr/>
          <w:p>
            <w:pPr>
              <w:spacing w:after="0" w:line="240" w:lineRule="auto"/>
              <w:pStyle w:val="Compact"/>
              <w:jc w:val="right"/>
            </w:pPr>
            <w:r>
              <w:rPr>
                <w:sz w:val="20"/>
                <w:szCs w:val="20"/>
              </w:rPr>
              <w:t xml:space="preserve">234,743 (47,266)</w:t>
            </w:r>
          </w:p>
        </w:tc>
        <w:tc>
          <w:tcPr>
            <w:tcW w:w="1201" w:type="dxa"/>
          </w:tcPr>
          <w:tcPr/>
          <w:p>
            <w:pPr>
              <w:spacing w:after="0" w:line="240" w:lineRule="auto"/>
              <w:pStyle w:val="Compact"/>
              <w:jc w:val="right"/>
            </w:pPr>
            <w:r>
              <w:rPr>
                <w:sz w:val="20"/>
                <w:szCs w:val="20"/>
              </w:rPr>
              <w:t xml:space="preserve">219,584 (30,966)</w:t>
            </w:r>
          </w:p>
        </w:tc>
        <w:tc>
          <w:tcPr>
            <w:tcW w:w="1201" w:type="dxa"/>
          </w:tcPr>
          <w:tcPr/>
          <w:p>
            <w:pPr>
              <w:spacing w:after="0" w:line="240" w:lineRule="auto"/>
              <w:pStyle w:val="Compact"/>
              <w:jc w:val="right"/>
            </w:pPr>
            <w:r>
              <w:rPr>
                <w:sz w:val="20"/>
                <w:szCs w:val="20"/>
              </w:rPr>
              <w:t xml:space="preserve">241,227 (52,291)</w:t>
            </w:r>
          </w:p>
        </w:tc>
        <w:tc>
          <w:tcPr>
            <w:tcW w:w="1201" w:type="dxa"/>
          </w:tcPr>
          <w:tcPr/>
          <w:p>
            <w:pPr>
              <w:spacing w:after="0" w:line="240" w:lineRule="auto"/>
              <w:pStyle w:val="Compact"/>
              <w:jc w:val="right"/>
            </w:pPr>
            <w:r>
              <w:rPr>
                <w:sz w:val="20"/>
                <w:szCs w:val="20"/>
              </w:rPr>
              <w:t xml:space="preserve">145,417 (28,906)</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Households in the schedule file</w:t>
            </w:r>
          </w:p>
        </w:tc>
        <w:tc>
          <w:tcPr>
            <w:tcW w:w="2418" w:type="dxa"/>
          </w:tcPr>
          <w:tcPr/>
          <w:p>
            <w:pPr>
              <w:spacing w:after="0" w:line="240" w:lineRule="auto"/>
              <w:pStyle w:val="Compact"/>
              <w:jc w:val="right"/>
            </w:pPr>
            <w:r>
              <w:rPr>
                <w:sz w:val="20"/>
                <w:szCs w:val="20"/>
              </w:rPr>
              <w:t xml:space="preserve">28,455 (6,914)</w:t>
            </w:r>
          </w:p>
        </w:tc>
        <w:tc>
          <w:tcPr>
            <w:tcW w:w="1201" w:type="dxa"/>
          </w:tcPr>
          <w:tcPr/>
          <w:p>
            <w:pPr>
              <w:spacing w:after="0" w:line="240" w:lineRule="auto"/>
              <w:pStyle w:val="Compact"/>
              <w:jc w:val="right"/>
            </w:pPr>
            <w:r>
              <w:rPr>
                <w:sz w:val="20"/>
                <w:szCs w:val="20"/>
              </w:rPr>
              <w:t xml:space="preserve">32,440 (7,070)</w:t>
            </w:r>
          </w:p>
        </w:tc>
        <w:tc>
          <w:tcPr>
            <w:tcW w:w="1201" w:type="dxa"/>
          </w:tcPr>
          <w:tcPr/>
          <w:p>
            <w:pPr>
              <w:spacing w:after="0" w:line="240" w:lineRule="auto"/>
              <w:pStyle w:val="Compact"/>
              <w:jc w:val="right"/>
            </w:pPr>
            <w:r>
              <w:rPr>
                <w:sz w:val="20"/>
                <w:szCs w:val="20"/>
              </w:rPr>
              <w:t xml:space="preserve">31,167 (7,731)</w:t>
            </w:r>
          </w:p>
        </w:tc>
        <w:tc>
          <w:tcPr>
            <w:tcW w:w="1201" w:type="dxa"/>
          </w:tcPr>
          <w:tcPr/>
          <w:p>
            <w:pPr>
              <w:spacing w:after="0" w:line="240" w:lineRule="auto"/>
              <w:pStyle w:val="Compact"/>
              <w:jc w:val="right"/>
            </w:pPr>
            <w:r>
              <w:rPr>
                <w:sz w:val="20"/>
                <w:szCs w:val="20"/>
              </w:rPr>
              <w:t xml:space="preserve">36,785 (8,844)</w:t>
            </w:r>
          </w:p>
        </w:tc>
        <w:tc>
          <w:tcPr>
            <w:tcW w:w="811" w:type="dxa"/>
          </w:tcPr>
          <w:tcPr/>
          <w:p>
            <w:pPr>
              <w:spacing w:after="0" w:line="240" w:lineRule="auto"/>
              <w:pStyle w:val="Compact"/>
              <w:jc w:val="right"/>
            </w:pPr>
            <w:r>
              <w:rPr>
                <w:sz w:val="20"/>
                <w:szCs w:val="20"/>
              </w:rPr>
              <w:t xml:space="preserve">23,882 (6,615)</w:t>
            </w:r>
          </w:p>
        </w:tc>
      </w:tr>
      <w:tr>
        <w:tc>
          <w:tcPr>
            <w:tcW w:w="2528" w:type="dxa"/>
          </w:tcPr>
          <w:tcPr/>
          <w:p>
            <w:pPr>
              <w:spacing w:after="0" w:line="240" w:lineRule="auto"/>
              <w:pStyle w:val="Compact"/>
              <w:jc w:val="left"/>
            </w:pPr>
            <w:r>
              <w:rPr>
                <w:sz w:val="20"/>
                <w:szCs w:val="20"/>
              </w:rPr>
              <w:t xml:space="preserve">Households simulated per draw and neighbourhood</w:t>
            </w:r>
          </w:p>
        </w:tc>
        <w:tc>
          <w:tcPr>
            <w:tcW w:w="2418" w:type="dxa"/>
          </w:tcPr>
          <w:tcPr/>
          <w:p>
            <w:pPr>
              <w:spacing w:after="0" w:line="240" w:lineRule="auto"/>
              <w:pStyle w:val="Compact"/>
              <w:jc w:val="right"/>
            </w:pPr>
            <w:r>
              <w:rPr>
                <w:sz w:val="20"/>
                <w:szCs w:val="20"/>
              </w:rPr>
              <w:t xml:space="preserve">one per building (24, 48, 56, 8, 12 and 4 buildings in the six NUs); 30 draws</w:t>
            </w:r>
          </w:p>
        </w:tc>
        <w:tc>
          <w:tcPr>
            <w:tcW w:w="1201" w:type="dxa"/>
          </w:tcPr>
          <w:tcPr/>
          <w:p>
            <w:pPr>
              <w:spacing w:after="0" w:line="240" w:lineRule="auto"/>
              <w:pStyle w:val="Compact"/>
            </w:pPr>
          </w:p>
        </w:tc>
        <w:tc>
          <w:tcPr>
            <w:tcW w:w="1201" w:type="dxa"/>
          </w:tcPr>
          <w:tcPr/>
          <w:p>
            <w:pPr>
              <w:spacing w:after="0" w:line="240" w:lineRule="auto"/>
              <w:pStyle w:val="Compact"/>
            </w:pPr>
          </w:p>
        </w:tc>
        <w:tc>
          <w:tcPr>
            <w:tcW w:w="1201" w:type="dxa"/>
          </w:tcPr>
          <w:tcPr/>
          <w:p>
            <w:pPr>
              <w:spacing w:after="0" w:line="240" w:lineRule="auto"/>
              <w:pStyle w:val="Compact"/>
            </w:pPr>
          </w:p>
        </w:tc>
        <w:tc>
          <w:tcPr>
            <w:tcW w:w="811" w:type="dxa"/>
          </w:tcPr>
          <w:tcPr/>
          <w:p>
            <w:pPr>
              <w:spacing w:after="0" w:line="240" w:lineRule="auto"/>
              <w:pStyle w:val="Compact"/>
            </w:pPr>
          </w:p>
        </w:tc>
      </w:tr>
    </w:tbl>
    <w:bookmarkEnd w:id="49"/>
    <w:bookmarkStart w:id="50" w:name="harmonisation"/>
    <w:p>
      <w:pPr>
        <w:pStyle w:val="Heading2"/>
      </w:pPr>
      <w:r>
        <w:t xml:space="preserve">2.3 Harmonisation</w:t>
      </w:r>
    </w:p>
    <w:p>
      <w:pPr>
        <w:pStyle w:val="FirstParagraph"/>
      </w:pPr>
      <w:r>
        <w:t xml:space="preserve">The four Census cycles were brought to one structure in four steps: parsing and cleaning of the raw files; harmonisation of variable names and categories, notably dwelling type (DTYPE); derivation of household variables such as household size (HHSIZE) from the member records; and export with the same variable set in every cycle. The GSS needed more work because its activity coding changed: 2005 and 2010 use ACTCODE with 182 and 264 codes, while 2015 and 2022 use TUI_01 with 64 and 121 codes. All codes were mapped to 14 activity categories (Appendix B, Table B1), and locations and co-presence to 18 presence categories (Table B2). Diary episodes were converted to 288 five-minute states per day. Table 3 defines the variables used for linking and the output variables.</w:t>
      </w:r>
    </w:p>
    <w:p>
      <w:pPr>
        <w:pStyle w:val="BodyText"/>
      </w:pPr>
      <w:r>
        <w:t xml:space="preserve">Table 3. Key variables. Linking variables are coded the same way in the Census and GSS after harmonisation; output variables are computed from the five-minute household schedules.</w:t>
      </w:r>
    </w:p>
    <w:tbl>
      <w:tblPr>
        <w:tblStyle w:val="Table"/>
        <w:tblW w:type="pct" w:w="5000"/>
        <w:tblLayout w:type="fixed"/>
        <w:tblCellMar>
          <w:left w:w="72" w:type="dxa"/>
          <w:right w:w="72" w:type="dxa"/>
        </w:tblCellMar>
        <w:tblLook w:firstRow="1" w:lastRow="0" w:firstColumn="0" w:lastColumn="0" w:noHBand="0" w:noVBand="0" w:val="0020"/>
      </w:tblPr>
      <w:tblGrid>
        <w:gridCol w:w="1204"/>
        <w:gridCol w:w="1263"/>
        <w:gridCol w:w="6893"/>
      </w:tblGrid>
      <w:tr>
        <w:trPr>
          <w:tblHeader w:val="on"/>
        </w:trPr>
        <w:tc>
          <w:tcPr>
            <w:tcW w:w="1204" w:type="dxa"/>
          </w:tcPr>
          <w:tcPr/>
          <w:p>
            <w:pPr>
              <w:spacing w:after="0" w:line="240" w:lineRule="auto"/>
              <w:pStyle w:val="Compact"/>
              <w:jc w:val="left"/>
            </w:pPr>
            <w:r>
              <w:rPr>
                <w:sz w:val="20"/>
                <w:szCs w:val="20"/>
              </w:rPr>
              <w:t xml:space="preserve">Variable</w:t>
            </w:r>
          </w:p>
        </w:tc>
        <w:tc>
          <w:tcPr>
            <w:tcW w:w="1263" w:type="dxa"/>
          </w:tcPr>
          <w:tcPr/>
          <w:p>
            <w:pPr>
              <w:spacing w:after="0" w:line="240" w:lineRule="auto"/>
              <w:pStyle w:val="Compact"/>
              <w:jc w:val="left"/>
            </w:pPr>
            <w:r>
              <w:rPr>
                <w:sz w:val="20"/>
                <w:szCs w:val="20"/>
              </w:rPr>
              <w:t xml:space="preserve">Source</w:t>
            </w:r>
          </w:p>
        </w:tc>
        <w:tc>
          <w:tcPr>
            <w:tcW w:w="6893" w:type="dxa"/>
          </w:tcPr>
          <w:tcPr/>
          <w:p>
            <w:pPr>
              <w:spacing w:after="0" w:line="240" w:lineRule="auto"/>
              <w:pStyle w:val="Compact"/>
              <w:jc w:val="left"/>
            </w:pPr>
            <w:r>
              <w:rPr>
                <w:sz w:val="20"/>
                <w:szCs w:val="20"/>
              </w:rPr>
              <w:t xml:space="preserve">Harmonised categories or definition</w:t>
            </w:r>
          </w:p>
        </w:tc>
      </w:tr>
      <w:tr>
        <w:tc>
          <w:tcPr>
            <w:tcW w:w="1204" w:type="dxa"/>
          </w:tcPr>
          <w:tcPr/>
          <w:p>
            <w:pPr>
              <w:spacing w:after="0" w:line="240" w:lineRule="auto"/>
              <w:pStyle w:val="Compact"/>
              <w:jc w:val="left"/>
            </w:pPr>
            <w:r>
              <w:rPr>
                <w:sz w:val="20"/>
                <w:szCs w:val="20"/>
              </w:rPr>
              <w:t xml:space="preserve">AGEGRP</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Age group, 5- to 10-year bands; age code 88 (</w:t>
            </w:r>
            <w:r>
              <w:rPr>
                <w:sz w:val="20"/>
                <w:szCs w:val="20"/>
              </w:rPr>
              <w:t xml:space="preserve">“not available”</w:t>
            </w:r>
            <w:r>
              <w:rPr>
                <w:sz w:val="20"/>
                <w:szCs w:val="20"/>
              </w:rPr>
              <w:t xml:space="preserve">) removed, see Section 3.5</w:t>
            </w:r>
          </w:p>
        </w:tc>
      </w:tr>
      <w:tr>
        <w:tc>
          <w:tcPr>
            <w:tcW w:w="1204" w:type="dxa"/>
          </w:tcPr>
          <w:tcPr/>
          <w:p>
            <w:pPr>
              <w:spacing w:after="0" w:line="240" w:lineRule="auto"/>
              <w:pStyle w:val="Compact"/>
              <w:jc w:val="left"/>
            </w:pPr>
            <w:r>
              <w:rPr>
                <w:sz w:val="20"/>
                <w:szCs w:val="20"/>
              </w:rPr>
              <w:t xml:space="preserve">SEX</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Female, male</w:t>
            </w:r>
          </w:p>
        </w:tc>
      </w:tr>
      <w:tr>
        <w:tc>
          <w:tcPr>
            <w:tcW w:w="1204" w:type="dxa"/>
          </w:tcPr>
          <w:tcPr/>
          <w:p>
            <w:pPr>
              <w:spacing w:after="0" w:line="240" w:lineRule="auto"/>
              <w:pStyle w:val="Compact"/>
              <w:jc w:val="left"/>
            </w:pPr>
            <w:r>
              <w:rPr>
                <w:sz w:val="20"/>
                <w:szCs w:val="20"/>
              </w:rPr>
              <w:t xml:space="preserve">HHSIZE</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Household size 1, 2, 3, 4, 5 or more</w:t>
            </w:r>
          </w:p>
        </w:tc>
      </w:tr>
      <w:tr>
        <w:tc>
          <w:tcPr>
            <w:tcW w:w="1204" w:type="dxa"/>
          </w:tcPr>
          <w:tcPr/>
          <w:p>
            <w:pPr>
              <w:spacing w:after="0" w:line="240" w:lineRule="auto"/>
              <w:pStyle w:val="Compact"/>
              <w:jc w:val="left"/>
            </w:pPr>
            <w:r>
              <w:rPr>
                <w:sz w:val="20"/>
                <w:szCs w:val="20"/>
              </w:rPr>
              <w:t xml:space="preserve">DTYPE</w:t>
            </w:r>
          </w:p>
        </w:tc>
        <w:tc>
          <w:tcPr>
            <w:tcW w:w="1263" w:type="dxa"/>
          </w:tcPr>
          <w:tcPr/>
          <w:p>
            <w:pPr>
              <w:spacing w:after="0" w:line="240" w:lineRule="auto"/>
              <w:pStyle w:val="Compact"/>
              <w:jc w:val="left"/>
            </w:pPr>
            <w:r>
              <w:rPr>
                <w:sz w:val="20"/>
                <w:szCs w:val="20"/>
              </w:rPr>
              <w:t xml:space="preserve">Census</w:t>
            </w:r>
          </w:p>
        </w:tc>
        <w:tc>
          <w:tcPr>
            <w:tcW w:w="6893" w:type="dxa"/>
          </w:tcPr>
          <w:tcPr/>
          <w:p>
            <w:pPr>
              <w:spacing w:after="0" w:line="240" w:lineRule="auto"/>
              <w:pStyle w:val="Compact"/>
              <w:jc w:val="left"/>
            </w:pPr>
            <w:r>
              <w:rPr>
                <w:sz w:val="20"/>
                <w:szCs w:val="20"/>
              </w:rPr>
              <w:t xml:space="preserve">Dwelling type: detached, semi-detached, row, duplex, low-rise apartment, high-rise apartment, other, movable (three coarse classes in 2016 and 2021 PUMF, expanded, see Section 3.4)</w:t>
            </w:r>
          </w:p>
        </w:tc>
      </w:tr>
      <w:tr>
        <w:tc>
          <w:tcPr>
            <w:tcW w:w="1204" w:type="dxa"/>
          </w:tcPr>
          <w:tcPr/>
          <w:p>
            <w:pPr>
              <w:spacing w:after="0" w:line="240" w:lineRule="auto"/>
              <w:pStyle w:val="Compact"/>
              <w:jc w:val="left"/>
            </w:pPr>
            <w:r>
              <w:rPr>
                <w:sz w:val="20"/>
                <w:szCs w:val="20"/>
              </w:rPr>
              <w:t xml:space="preserve">MARSTH</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Legal marital status</w:t>
            </w:r>
          </w:p>
        </w:tc>
      </w:tr>
      <w:tr>
        <w:tc>
          <w:tcPr>
            <w:tcW w:w="1204" w:type="dxa"/>
          </w:tcPr>
          <w:tcPr/>
          <w:p>
            <w:pPr>
              <w:spacing w:after="0" w:line="240" w:lineRule="auto"/>
              <w:pStyle w:val="Compact"/>
              <w:jc w:val="left"/>
            </w:pPr>
            <w:r>
              <w:rPr>
                <w:sz w:val="20"/>
                <w:szCs w:val="20"/>
              </w:rPr>
              <w:t xml:space="preserve">LFTAG / COW</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Labour force status; class of worker</w:t>
            </w:r>
          </w:p>
        </w:tc>
      </w:tr>
      <w:tr>
        <w:tc>
          <w:tcPr>
            <w:tcW w:w="1204" w:type="dxa"/>
          </w:tcPr>
          <w:tcPr/>
          <w:p>
            <w:pPr>
              <w:spacing w:after="0" w:line="240" w:lineRule="auto"/>
              <w:pStyle w:val="Compact"/>
              <w:jc w:val="left"/>
            </w:pPr>
            <w:r>
              <w:rPr>
                <w:sz w:val="20"/>
                <w:szCs w:val="20"/>
              </w:rPr>
              <w:t xml:space="preserve">HRSWRK</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Weekly hours worked, grouped</w:t>
            </w:r>
          </w:p>
        </w:tc>
      </w:tr>
      <w:tr>
        <w:tc>
          <w:tcPr>
            <w:tcW w:w="1204" w:type="dxa"/>
          </w:tcPr>
          <w:tcPr/>
          <w:p>
            <w:pPr>
              <w:spacing w:after="0" w:line="240" w:lineRule="auto"/>
              <w:pStyle w:val="Compact"/>
              <w:jc w:val="left"/>
            </w:pPr>
            <w:r>
              <w:rPr>
                <w:sz w:val="20"/>
                <w:szCs w:val="20"/>
              </w:rPr>
              <w:t xml:space="preserve">NOCS</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Occupation, broad group</w:t>
            </w:r>
          </w:p>
        </w:tc>
      </w:tr>
      <w:tr>
        <w:tc>
          <w:tcPr>
            <w:tcW w:w="1204" w:type="dxa"/>
          </w:tcPr>
          <w:tcPr/>
          <w:p>
            <w:pPr>
              <w:spacing w:after="0" w:line="240" w:lineRule="auto"/>
              <w:pStyle w:val="Compact"/>
              <w:jc w:val="left"/>
            </w:pPr>
            <w:r>
              <w:rPr>
                <w:sz w:val="20"/>
                <w:szCs w:val="20"/>
              </w:rPr>
              <w:t xml:space="preserve">KOL</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Knowledge of official languages</w:t>
            </w:r>
          </w:p>
        </w:tc>
      </w:tr>
      <w:tr>
        <w:tc>
          <w:tcPr>
            <w:tcW w:w="1204" w:type="dxa"/>
          </w:tcPr>
          <w:tcPr/>
          <w:p>
            <w:pPr>
              <w:spacing w:after="0" w:line="240" w:lineRule="auto"/>
              <w:pStyle w:val="Compact"/>
              <w:jc w:val="left"/>
            </w:pPr>
            <w:r>
              <w:rPr>
                <w:sz w:val="20"/>
                <w:szCs w:val="20"/>
              </w:rPr>
              <w:t xml:space="preserve">PR</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Province or region (six-value scheme)</w:t>
            </w:r>
          </w:p>
        </w:tc>
      </w:tr>
      <w:tr>
        <w:tc>
          <w:tcPr>
            <w:tcW w:w="1204" w:type="dxa"/>
          </w:tcPr>
          <w:tcPr/>
          <w:p>
            <w:pPr>
              <w:spacing w:after="0" w:line="240" w:lineRule="auto"/>
              <w:pStyle w:val="Compact"/>
              <w:jc w:val="left"/>
            </w:pPr>
            <w:r>
              <w:rPr>
                <w:sz w:val="20"/>
                <w:szCs w:val="20"/>
              </w:rPr>
              <w:t xml:space="preserve">CMA</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Large census metropolitan area or not (two classes)</w:t>
            </w:r>
          </w:p>
        </w:tc>
      </w:tr>
      <w:tr>
        <w:tc>
          <w:tcPr>
            <w:tcW w:w="1204" w:type="dxa"/>
          </w:tcPr>
          <w:tcPr/>
          <w:p>
            <w:pPr>
              <w:spacing w:after="0" w:line="240" w:lineRule="auto"/>
              <w:pStyle w:val="Compact"/>
              <w:jc w:val="left"/>
            </w:pPr>
            <w:r>
              <w:rPr>
                <w:sz w:val="20"/>
                <w:szCs w:val="20"/>
              </w:rPr>
              <w:t xml:space="preserve">MODE</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Main mode of commuting</w:t>
            </w:r>
          </w:p>
        </w:tc>
      </w:tr>
      <w:tr>
        <w:tc>
          <w:tcPr>
            <w:tcW w:w="1204" w:type="dxa"/>
          </w:tcPr>
          <w:tcPr/>
          <w:p>
            <w:pPr>
              <w:spacing w:after="0" w:line="240" w:lineRule="auto"/>
              <w:pStyle w:val="Compact"/>
              <w:jc w:val="left"/>
            </w:pPr>
            <w:r>
              <w:rPr>
                <w:sz w:val="20"/>
                <w:szCs w:val="20"/>
              </w:rPr>
              <w:t xml:space="preserve">Occupancy fraction</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Share of the household members with a diary who are at home, per hour (0–1)</w:t>
            </w:r>
          </w:p>
        </w:tc>
      </w:tr>
      <w:tr>
        <w:tc>
          <w:tcPr>
            <w:tcW w:w="1204" w:type="dxa"/>
          </w:tcPr>
          <w:tcPr/>
          <w:p>
            <w:pPr>
              <w:spacing w:after="0" w:line="240" w:lineRule="auto"/>
              <w:pStyle w:val="Compact"/>
              <w:jc w:val="left"/>
            </w:pPr>
            <w:r>
              <w:rPr>
                <w:sz w:val="20"/>
                <w:szCs w:val="20"/>
              </w:rPr>
              <w:t xml:space="preserve">Occupied hours</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Sum over the 24 hours of the mean hourly occupancy fraction (hours per day)</w:t>
            </w:r>
          </w:p>
        </w:tc>
      </w:tr>
      <w:tr>
        <w:tc>
          <w:tcPr>
            <w:tcW w:w="1204" w:type="dxa"/>
          </w:tcPr>
          <w:tcPr/>
          <w:p>
            <w:pPr>
              <w:spacing w:after="0" w:line="240" w:lineRule="auto"/>
              <w:pStyle w:val="Compact"/>
              <w:jc w:val="left"/>
            </w:pPr>
            <w:r>
              <w:rPr>
                <w:sz w:val="20"/>
                <w:szCs w:val="20"/>
              </w:rPr>
              <w:t xml:space="preserve">Daytime occupancy fraction</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Mean occupancy fraction over 09:00–17:00</w:t>
            </w:r>
          </w:p>
        </w:tc>
      </w:tr>
      <w:tr>
        <w:tc>
          <w:tcPr>
            <w:tcW w:w="1204" w:type="dxa"/>
          </w:tcPr>
          <w:tcPr/>
          <w:p>
            <w:pPr>
              <w:spacing w:after="0" w:line="240" w:lineRule="auto"/>
              <w:pStyle w:val="Compact"/>
              <w:jc w:val="left"/>
            </w:pPr>
            <w:r>
              <w:rPr>
                <w:sz w:val="20"/>
                <w:szCs w:val="20"/>
              </w:rPr>
              <w:t xml:space="preserve">Metabolic rate</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Mean metabolic heat of the members at home, from activity (W per person)</w:t>
            </w:r>
          </w:p>
        </w:tc>
      </w:tr>
    </w:tbl>
    <w:bookmarkEnd w:id="50"/>
    <w:bookmarkStart w:id="51" w:name="regional-scope-and-representativeness"/>
    <w:p>
      <w:pPr>
        <w:pStyle w:val="Heading2"/>
      </w:pPr>
      <w:r>
        <w:t xml:space="preserve">2.4 Regional scope and representativeness</w:t>
      </w:r>
    </w:p>
    <w:p>
      <w:pPr>
        <w:pStyle w:val="FirstParagraph"/>
      </w:pPr>
      <w:r>
        <w:t xml:space="preserve">The Census and GSS records come from all of Canada; neither the Census households nor the GSS respondents were restricted to Quebec or Montreal, and no survey weights were used when the schedules were built. The first matching tier (Section 3.4) requires a Census person and a GSS respondent to share the same province and the same CMA class, so a Quebec household is matched to Quebec diaries whenever that tier succeeds; later tiers relax this. Quebec accounts for about a quarter of the households in each Census cycle and 15 to 21 % of the retained GSS respondents (Table 2). The Quebec GSS samples are small (1,798 to 3,139 respondents per cycle), and CMA is not coded at the same detail in every PUMF cycle, which is why the national files were used.</w:t>
      </w:r>
    </w:p>
    <w:p>
      <w:pPr>
        <w:pStyle w:val="BodyText"/>
      </w:pPr>
      <w:r>
        <w:t xml:space="preserve">To test whether this choice matters for a Montreal simulation, the occupancy metrics were computed for Canada and for the Quebec subset of each schedule file (Table 4). The Quebec households are at home slightly longer in most cycles, but the differences are small: at most 0.3 h per weekday and 0.02 in the weekday daytime fraction, and at most 0.9 h and 0.04 on weekends (2022). These are smaller than the difference between 2022 and the other cycles (1.5 to 2.3 h per weekday), so the national schedules were kept and no scenario was re-run with the Quebec subset. Because no weights were applied, the schedules describe the survey samples as matched, not the Canadian population, and the paper does not claim national representativeness.</w:t>
      </w:r>
    </w:p>
    <w:p>
      <w:pPr>
        <w:pStyle w:val="BodyText"/>
      </w:pPr>
      <w:r>
        <w:t xml:space="preserve">Table 4. Occupied hours per day and daytime (09:00–17:00) occupancy fraction for Canada and for the Quebec subset, per cycle and day type. Differences are Quebec minus Canada with 95 % bootstrap intervals (1,000 resamples of households).</w:t>
      </w:r>
    </w:p>
    <w:tbl>
      <w:tblPr>
        <w:tblStyle w:val="Table"/>
        <w:tblW w:type="pct" w:w="5000"/>
        <w:tblLayout w:type="fixed"/>
        <w:tblCellMar>
          <w:left w:w="72" w:type="dxa"/>
          <w:right w:w="72" w:type="dxa"/>
        </w:tblCellMar>
        <w:tblLook w:firstRow="1" w:lastRow="0" w:firstColumn="0" w:lastColumn="0" w:noHBand="0" w:noVBand="0" w:val="0020"/>
      </w:tblPr>
      <w:tblGrid>
        <w:gridCol w:w="619"/>
        <w:gridCol w:w="809"/>
        <w:gridCol w:w="904"/>
        <w:gridCol w:w="714"/>
        <w:gridCol w:w="2140"/>
        <w:gridCol w:w="999"/>
        <w:gridCol w:w="714"/>
        <w:gridCol w:w="2461"/>
      </w:tblGrid>
      <w:tr>
        <w:trPr>
          <w:tblHeader w:val="on"/>
        </w:trPr>
        <w:tc>
          <w:tcPr>
            <w:tcW w:w="619" w:type="dxa"/>
          </w:tcPr>
          <w:tcPr/>
          <w:p>
            <w:pPr>
              <w:spacing w:after="0" w:line="240" w:lineRule="auto"/>
              <w:pStyle w:val="Compact"/>
              <w:jc w:val="left"/>
            </w:pPr>
            <w:r>
              <w:rPr>
                <w:sz w:val="20"/>
                <w:szCs w:val="20"/>
              </w:rPr>
              <w:t xml:space="preserve">Cycle</w:t>
            </w:r>
          </w:p>
        </w:tc>
        <w:tc>
          <w:tcPr>
            <w:tcW w:w="809" w:type="dxa"/>
          </w:tcPr>
          <w:tcPr/>
          <w:p>
            <w:pPr>
              <w:spacing w:after="0" w:line="240" w:lineRule="auto"/>
              <w:pStyle w:val="Compact"/>
              <w:jc w:val="left"/>
            </w:pPr>
            <w:r>
              <w:rPr>
                <w:sz w:val="20"/>
                <w:szCs w:val="20"/>
              </w:rPr>
              <w:t xml:space="preserve">Day</w:t>
            </w:r>
          </w:p>
        </w:tc>
        <w:tc>
          <w:tcPr>
            <w:tcW w:w="904" w:type="dxa"/>
          </w:tcPr>
          <w:tcPr/>
          <w:p>
            <w:pPr>
              <w:spacing w:after="0" w:line="240" w:lineRule="auto"/>
              <w:pStyle w:val="Compact"/>
              <w:jc w:val="right"/>
            </w:pPr>
            <w:r>
              <w:rPr>
                <w:sz w:val="20"/>
                <w:szCs w:val="20"/>
              </w:rPr>
              <w:t xml:space="preserve">Occupied hours, Canada</w:t>
            </w:r>
          </w:p>
        </w:tc>
        <w:tc>
          <w:tcPr>
            <w:tcW w:w="714" w:type="dxa"/>
          </w:tcPr>
          <w:tcPr/>
          <w:p>
            <w:pPr>
              <w:spacing w:after="0" w:line="240" w:lineRule="auto"/>
              <w:pStyle w:val="Compact"/>
              <w:jc w:val="right"/>
            </w:pPr>
            <w:r>
              <w:rPr>
                <w:sz w:val="20"/>
                <w:szCs w:val="20"/>
              </w:rPr>
              <w:t xml:space="preserve">Quebec</w:t>
            </w:r>
          </w:p>
        </w:tc>
        <w:tc>
          <w:tcPr>
            <w:tcW w:w="2140" w:type="dxa"/>
          </w:tcPr>
          <w:tcPr/>
          <w:p>
            <w:pPr>
              <w:spacing w:after="0" w:line="240" w:lineRule="auto"/>
              <w:pStyle w:val="Compact"/>
              <w:jc w:val="right"/>
            </w:pPr>
            <w:r>
              <w:rPr>
                <w:sz w:val="20"/>
                <w:szCs w:val="20"/>
              </w:rPr>
              <w:t xml:space="preserve">Quebec − Canada (95 % interval)</w:t>
            </w:r>
          </w:p>
        </w:tc>
        <w:tc>
          <w:tcPr>
            <w:tcW w:w="999" w:type="dxa"/>
          </w:tcPr>
          <w:tcPr/>
          <w:p>
            <w:pPr>
              <w:spacing w:after="0" w:line="240" w:lineRule="auto"/>
              <w:pStyle w:val="Compact"/>
              <w:jc w:val="right"/>
            </w:pPr>
            <w:r>
              <w:rPr>
                <w:sz w:val="20"/>
                <w:szCs w:val="20"/>
              </w:rPr>
              <w:t xml:space="preserve">Daytime fraction, Canada</w:t>
            </w:r>
          </w:p>
        </w:tc>
        <w:tc>
          <w:tcPr>
            <w:tcW w:w="714" w:type="dxa"/>
          </w:tcPr>
          <w:tcPr/>
          <w:p>
            <w:pPr>
              <w:spacing w:after="0" w:line="240" w:lineRule="auto"/>
              <w:pStyle w:val="Compact"/>
              <w:jc w:val="right"/>
            </w:pPr>
            <w:r>
              <w:rPr>
                <w:sz w:val="20"/>
                <w:szCs w:val="20"/>
              </w:rPr>
              <w:t xml:space="preserve">Quebec</w:t>
            </w:r>
          </w:p>
        </w:tc>
        <w:tc>
          <w:tcPr>
            <w:tcW w:w="2461" w:type="dxa"/>
          </w:tcPr>
          <w:tcPr/>
          <w:p>
            <w:pPr>
              <w:spacing w:after="0" w:line="240" w:lineRule="auto"/>
              <w:pStyle w:val="Compact"/>
              <w:jc w:val="right"/>
            </w:pPr>
            <w:r>
              <w:rPr>
                <w:sz w:val="20"/>
                <w:szCs w:val="20"/>
              </w:rPr>
              <w:t xml:space="preserve">Quebec − Canada (95 % interval)</w:t>
            </w:r>
          </w:p>
        </w:tc>
      </w:tr>
      <w:tr>
        <w:tc>
          <w:tcPr>
            <w:tcW w:w="619" w:type="dxa"/>
          </w:tcPr>
          <w:tcPr/>
          <w:p>
            <w:pPr>
              <w:spacing w:after="0" w:line="240" w:lineRule="auto"/>
              <w:pStyle w:val="Compact"/>
              <w:jc w:val="left"/>
            </w:pPr>
            <w:r>
              <w:rPr>
                <w:sz w:val="20"/>
                <w:szCs w:val="20"/>
              </w:rPr>
              <w:t xml:space="preserve">2005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16.12</w:t>
            </w:r>
          </w:p>
        </w:tc>
        <w:tc>
          <w:tcPr>
            <w:tcW w:w="714" w:type="dxa"/>
          </w:tcPr>
          <w:tcPr/>
          <w:p>
            <w:pPr>
              <w:spacing w:after="0" w:line="240" w:lineRule="auto"/>
              <w:pStyle w:val="Compact"/>
              <w:jc w:val="right"/>
            </w:pPr>
            <w:r>
              <w:rPr>
                <w:sz w:val="20"/>
                <w:szCs w:val="20"/>
              </w:rPr>
              <w:t xml:space="preserve">16.44</w:t>
            </w:r>
          </w:p>
        </w:tc>
        <w:tc>
          <w:tcPr>
            <w:tcW w:w="2140" w:type="dxa"/>
          </w:tcPr>
          <w:tcPr/>
          <w:p>
            <w:pPr>
              <w:spacing w:after="0" w:line="240" w:lineRule="auto"/>
              <w:pStyle w:val="Compact"/>
              <w:jc w:val="right"/>
            </w:pPr>
            <w:r>
              <w:rPr>
                <w:sz w:val="20"/>
                <w:szCs w:val="20"/>
              </w:rPr>
              <w:t xml:space="preserve">+0.32 (+0.25, +0.42)</w:t>
            </w:r>
          </w:p>
        </w:tc>
        <w:tc>
          <w:tcPr>
            <w:tcW w:w="999" w:type="dxa"/>
          </w:tcPr>
          <w:tcPr/>
          <w:p>
            <w:pPr>
              <w:spacing w:after="0" w:line="240" w:lineRule="auto"/>
              <w:pStyle w:val="Compact"/>
              <w:jc w:val="right"/>
            </w:pPr>
            <w:r>
              <w:rPr>
                <w:sz w:val="20"/>
                <w:szCs w:val="20"/>
              </w:rPr>
              <w:t xml:space="preserve">0.379</w:t>
            </w:r>
          </w:p>
        </w:tc>
        <w:tc>
          <w:tcPr>
            <w:tcW w:w="714" w:type="dxa"/>
          </w:tcPr>
          <w:tcPr/>
          <w:p>
            <w:pPr>
              <w:spacing w:after="0" w:line="240" w:lineRule="auto"/>
              <w:pStyle w:val="Compact"/>
              <w:jc w:val="right"/>
            </w:pPr>
            <w:r>
              <w:rPr>
                <w:sz w:val="20"/>
                <w:szCs w:val="20"/>
              </w:rPr>
              <w:t xml:space="preserve">0.401</w:t>
            </w:r>
          </w:p>
        </w:tc>
        <w:tc>
          <w:tcPr>
            <w:tcW w:w="2461" w:type="dxa"/>
          </w:tcPr>
          <w:tcPr/>
          <w:p>
            <w:pPr>
              <w:spacing w:after="0" w:line="240" w:lineRule="auto"/>
              <w:pStyle w:val="Compact"/>
              <w:jc w:val="right"/>
            </w:pPr>
            <w:r>
              <w:rPr>
                <w:sz w:val="20"/>
                <w:szCs w:val="20"/>
              </w:rPr>
              <w:t xml:space="preserve">+0.022 (+0.016, +0.029)</w:t>
            </w:r>
          </w:p>
        </w:tc>
      </w:tr>
      <w:tr>
        <w:tc>
          <w:tcPr>
            <w:tcW w:w="619" w:type="dxa"/>
          </w:tcPr>
          <w:tcPr/>
          <w:p>
            <w:pPr>
              <w:spacing w:after="0" w:line="240" w:lineRule="auto"/>
              <w:pStyle w:val="Compact"/>
              <w:jc w:val="left"/>
            </w:pPr>
            <w:r>
              <w:rPr>
                <w:sz w:val="20"/>
                <w:szCs w:val="20"/>
              </w:rPr>
              <w:t xml:space="preserve">2005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17.50</w:t>
            </w:r>
          </w:p>
        </w:tc>
        <w:tc>
          <w:tcPr>
            <w:tcW w:w="714" w:type="dxa"/>
          </w:tcPr>
          <w:tcPr/>
          <w:p>
            <w:pPr>
              <w:spacing w:after="0" w:line="240" w:lineRule="auto"/>
              <w:pStyle w:val="Compact"/>
              <w:jc w:val="right"/>
            </w:pPr>
            <w:r>
              <w:rPr>
                <w:sz w:val="20"/>
                <w:szCs w:val="20"/>
              </w:rPr>
              <w:t xml:space="preserve">17.57</w:t>
            </w:r>
          </w:p>
        </w:tc>
        <w:tc>
          <w:tcPr>
            <w:tcW w:w="2140" w:type="dxa"/>
          </w:tcPr>
          <w:tcPr/>
          <w:p>
            <w:pPr>
              <w:spacing w:after="0" w:line="240" w:lineRule="auto"/>
              <w:pStyle w:val="Compact"/>
              <w:jc w:val="right"/>
            </w:pPr>
            <w:r>
              <w:rPr>
                <w:sz w:val="20"/>
                <w:szCs w:val="20"/>
              </w:rPr>
              <w:t xml:space="preserve">+0.07 (-0.02, +0.17)</w:t>
            </w:r>
          </w:p>
        </w:tc>
        <w:tc>
          <w:tcPr>
            <w:tcW w:w="999" w:type="dxa"/>
          </w:tcPr>
          <w:tcPr/>
          <w:p>
            <w:pPr>
              <w:spacing w:after="0" w:line="240" w:lineRule="auto"/>
              <w:pStyle w:val="Compact"/>
              <w:jc w:val="right"/>
            </w:pPr>
            <w:r>
              <w:rPr>
                <w:sz w:val="20"/>
                <w:szCs w:val="20"/>
              </w:rPr>
              <w:t xml:space="preserve">0.566</w:t>
            </w:r>
          </w:p>
        </w:tc>
        <w:tc>
          <w:tcPr>
            <w:tcW w:w="714" w:type="dxa"/>
          </w:tcPr>
          <w:tcPr/>
          <w:p>
            <w:pPr>
              <w:spacing w:after="0" w:line="240" w:lineRule="auto"/>
              <w:pStyle w:val="Compact"/>
              <w:jc w:val="right"/>
            </w:pPr>
            <w:r>
              <w:rPr>
                <w:sz w:val="20"/>
                <w:szCs w:val="20"/>
              </w:rPr>
              <w:t xml:space="preserve">0.577</w:t>
            </w:r>
          </w:p>
        </w:tc>
        <w:tc>
          <w:tcPr>
            <w:tcW w:w="2461" w:type="dxa"/>
          </w:tcPr>
          <w:tcPr/>
          <w:p>
            <w:pPr>
              <w:spacing w:after="0" w:line="240" w:lineRule="auto"/>
              <w:pStyle w:val="Compact"/>
              <w:jc w:val="right"/>
            </w:pPr>
            <w:r>
              <w:rPr>
                <w:sz w:val="20"/>
                <w:szCs w:val="20"/>
              </w:rPr>
              <w:t xml:space="preserve">+0.012 (+0.006, +0.017)</w:t>
            </w:r>
          </w:p>
        </w:tc>
      </w:tr>
      <w:tr>
        <w:tc>
          <w:tcPr>
            <w:tcW w:w="619" w:type="dxa"/>
          </w:tcPr>
          <w:tcPr/>
          <w:p>
            <w:pPr>
              <w:spacing w:after="0" w:line="240" w:lineRule="auto"/>
              <w:pStyle w:val="Compact"/>
              <w:jc w:val="left"/>
            </w:pPr>
            <w:r>
              <w:rPr>
                <w:sz w:val="20"/>
                <w:szCs w:val="20"/>
              </w:rPr>
              <w:t xml:space="preserve">2010</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15.62</w:t>
            </w:r>
          </w:p>
        </w:tc>
        <w:tc>
          <w:tcPr>
            <w:tcW w:w="714" w:type="dxa"/>
          </w:tcPr>
          <w:tcPr/>
          <w:p>
            <w:pPr>
              <w:spacing w:after="0" w:line="240" w:lineRule="auto"/>
              <w:pStyle w:val="Compact"/>
              <w:jc w:val="right"/>
            </w:pPr>
            <w:r>
              <w:rPr>
                <w:sz w:val="20"/>
                <w:szCs w:val="20"/>
              </w:rPr>
              <w:t xml:space="preserve">15.57</w:t>
            </w:r>
          </w:p>
        </w:tc>
        <w:tc>
          <w:tcPr>
            <w:tcW w:w="2140" w:type="dxa"/>
          </w:tcPr>
          <w:tcPr/>
          <w:p>
            <w:pPr>
              <w:spacing w:after="0" w:line="240" w:lineRule="auto"/>
              <w:pStyle w:val="Compact"/>
              <w:jc w:val="right"/>
            </w:pPr>
            <w:r>
              <w:rPr>
                <w:sz w:val="20"/>
                <w:szCs w:val="20"/>
              </w:rPr>
              <w:t xml:space="preserve">-0.04 (-0.13, +0.04)</w:t>
            </w:r>
          </w:p>
        </w:tc>
        <w:tc>
          <w:tcPr>
            <w:tcW w:w="999" w:type="dxa"/>
          </w:tcPr>
          <w:tcPr/>
          <w:p>
            <w:pPr>
              <w:spacing w:after="0" w:line="240" w:lineRule="auto"/>
              <w:pStyle w:val="Compact"/>
              <w:jc w:val="right"/>
            </w:pPr>
            <w:r>
              <w:rPr>
                <w:sz w:val="20"/>
                <w:szCs w:val="20"/>
              </w:rPr>
              <w:t xml:space="preserve">0.359</w:t>
            </w:r>
          </w:p>
        </w:tc>
        <w:tc>
          <w:tcPr>
            <w:tcW w:w="714" w:type="dxa"/>
          </w:tcPr>
          <w:tcPr/>
          <w:p>
            <w:pPr>
              <w:spacing w:after="0" w:line="240" w:lineRule="auto"/>
              <w:pStyle w:val="Compact"/>
              <w:jc w:val="right"/>
            </w:pPr>
            <w:r>
              <w:rPr>
                <w:sz w:val="20"/>
                <w:szCs w:val="20"/>
              </w:rPr>
              <w:t xml:space="preserve">0.344</w:t>
            </w:r>
          </w:p>
        </w:tc>
        <w:tc>
          <w:tcPr>
            <w:tcW w:w="2461" w:type="dxa"/>
          </w:tcPr>
          <w:tcPr/>
          <w:p>
            <w:pPr>
              <w:spacing w:after="0" w:line="240" w:lineRule="auto"/>
              <w:pStyle w:val="Compact"/>
              <w:jc w:val="right"/>
            </w:pPr>
            <w:r>
              <w:rPr>
                <w:sz w:val="20"/>
                <w:szCs w:val="20"/>
              </w:rPr>
              <w:t xml:space="preserve">-0.015 (-0.022, -0.009)</w:t>
            </w:r>
          </w:p>
        </w:tc>
      </w:tr>
      <w:tr>
        <w:tc>
          <w:tcPr>
            <w:tcW w:w="619" w:type="dxa"/>
          </w:tcPr>
          <w:tcPr/>
          <w:p>
            <w:pPr>
              <w:spacing w:after="0" w:line="240" w:lineRule="auto"/>
              <w:pStyle w:val="Compact"/>
              <w:jc w:val="left"/>
            </w:pPr>
            <w:r>
              <w:rPr>
                <w:sz w:val="20"/>
                <w:szCs w:val="20"/>
              </w:rPr>
              <w:t xml:space="preserve">2010</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17.41</w:t>
            </w:r>
          </w:p>
        </w:tc>
        <w:tc>
          <w:tcPr>
            <w:tcW w:w="714" w:type="dxa"/>
          </w:tcPr>
          <w:tcPr/>
          <w:p>
            <w:pPr>
              <w:spacing w:after="0" w:line="240" w:lineRule="auto"/>
              <w:pStyle w:val="Compact"/>
              <w:jc w:val="right"/>
            </w:pPr>
            <w:r>
              <w:rPr>
                <w:sz w:val="20"/>
                <w:szCs w:val="20"/>
              </w:rPr>
              <w:t xml:space="preserve">17.70</w:t>
            </w:r>
          </w:p>
        </w:tc>
        <w:tc>
          <w:tcPr>
            <w:tcW w:w="2140" w:type="dxa"/>
          </w:tcPr>
          <w:tcPr/>
          <w:p>
            <w:pPr>
              <w:spacing w:after="0" w:line="240" w:lineRule="auto"/>
              <w:pStyle w:val="Compact"/>
              <w:jc w:val="right"/>
            </w:pPr>
            <w:r>
              <w:rPr>
                <w:sz w:val="20"/>
                <w:szCs w:val="20"/>
              </w:rPr>
              <w:t xml:space="preserve">+0.29 (+0.20, +0.38)</w:t>
            </w:r>
          </w:p>
        </w:tc>
        <w:tc>
          <w:tcPr>
            <w:tcW w:w="999" w:type="dxa"/>
          </w:tcPr>
          <w:tcPr/>
          <w:p>
            <w:pPr>
              <w:spacing w:after="0" w:line="240" w:lineRule="auto"/>
              <w:pStyle w:val="Compact"/>
              <w:jc w:val="right"/>
            </w:pPr>
            <w:r>
              <w:rPr>
                <w:sz w:val="20"/>
                <w:szCs w:val="20"/>
              </w:rPr>
              <w:t xml:space="preserve">0.546</w:t>
            </w:r>
          </w:p>
        </w:tc>
        <w:tc>
          <w:tcPr>
            <w:tcW w:w="714" w:type="dxa"/>
          </w:tcPr>
          <w:tcPr/>
          <w:p>
            <w:pPr>
              <w:spacing w:after="0" w:line="240" w:lineRule="auto"/>
              <w:pStyle w:val="Compact"/>
              <w:jc w:val="right"/>
            </w:pPr>
            <w:r>
              <w:rPr>
                <w:sz w:val="20"/>
                <w:szCs w:val="20"/>
              </w:rPr>
              <w:t xml:space="preserve">0.542</w:t>
            </w:r>
          </w:p>
        </w:tc>
        <w:tc>
          <w:tcPr>
            <w:tcW w:w="2461" w:type="dxa"/>
          </w:tcPr>
          <w:tcPr/>
          <w:p>
            <w:pPr>
              <w:spacing w:after="0" w:line="240" w:lineRule="auto"/>
              <w:pStyle w:val="Compact"/>
              <w:jc w:val="right"/>
            </w:pPr>
            <w:r>
              <w:rPr>
                <w:sz w:val="20"/>
                <w:szCs w:val="20"/>
              </w:rPr>
              <w:t xml:space="preserve">-0.005 (-0.011, +0.002)</w:t>
            </w:r>
          </w:p>
        </w:tc>
      </w:tr>
      <w:tr>
        <w:tc>
          <w:tcPr>
            <w:tcW w:w="619" w:type="dxa"/>
          </w:tcPr>
          <w:tcPr/>
          <w:p>
            <w:pPr>
              <w:spacing w:after="0" w:line="240" w:lineRule="auto"/>
              <w:pStyle w:val="Compact"/>
              <w:jc w:val="left"/>
            </w:pPr>
            <w:r>
              <w:rPr>
                <w:sz w:val="20"/>
                <w:szCs w:val="20"/>
              </w:rPr>
              <w:t xml:space="preserve">2015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16.15</w:t>
            </w:r>
          </w:p>
        </w:tc>
        <w:tc>
          <w:tcPr>
            <w:tcW w:w="714" w:type="dxa"/>
          </w:tcPr>
          <w:tcPr/>
          <w:p>
            <w:pPr>
              <w:spacing w:after="0" w:line="240" w:lineRule="auto"/>
              <w:pStyle w:val="Compact"/>
              <w:jc w:val="right"/>
            </w:pPr>
            <w:r>
              <w:rPr>
                <w:sz w:val="20"/>
                <w:szCs w:val="20"/>
              </w:rPr>
              <w:t xml:space="preserve">16.39</w:t>
            </w:r>
          </w:p>
        </w:tc>
        <w:tc>
          <w:tcPr>
            <w:tcW w:w="2140" w:type="dxa"/>
          </w:tcPr>
          <w:tcPr/>
          <w:p>
            <w:pPr>
              <w:spacing w:after="0" w:line="240" w:lineRule="auto"/>
              <w:pStyle w:val="Compact"/>
              <w:jc w:val="right"/>
            </w:pPr>
            <w:r>
              <w:rPr>
                <w:sz w:val="20"/>
                <w:szCs w:val="20"/>
              </w:rPr>
              <w:t xml:space="preserve">+0.23 (+0.14, +0.32)</w:t>
            </w:r>
          </w:p>
        </w:tc>
        <w:tc>
          <w:tcPr>
            <w:tcW w:w="999" w:type="dxa"/>
          </w:tcPr>
          <w:tcPr/>
          <w:p>
            <w:pPr>
              <w:spacing w:after="0" w:line="240" w:lineRule="auto"/>
              <w:pStyle w:val="Compact"/>
              <w:jc w:val="right"/>
            </w:pPr>
            <w:r>
              <w:rPr>
                <w:sz w:val="20"/>
                <w:szCs w:val="20"/>
              </w:rPr>
              <w:t xml:space="preserve">0.402</w:t>
            </w:r>
          </w:p>
        </w:tc>
        <w:tc>
          <w:tcPr>
            <w:tcW w:w="714" w:type="dxa"/>
          </w:tcPr>
          <w:tcPr/>
          <w:p>
            <w:pPr>
              <w:spacing w:after="0" w:line="240" w:lineRule="auto"/>
              <w:pStyle w:val="Compact"/>
              <w:jc w:val="right"/>
            </w:pPr>
            <w:r>
              <w:rPr>
                <w:sz w:val="20"/>
                <w:szCs w:val="20"/>
              </w:rPr>
              <w:t xml:space="preserve">0.412</w:t>
            </w:r>
          </w:p>
        </w:tc>
        <w:tc>
          <w:tcPr>
            <w:tcW w:w="2461" w:type="dxa"/>
          </w:tcPr>
          <w:tcPr/>
          <w:p>
            <w:pPr>
              <w:spacing w:after="0" w:line="240" w:lineRule="auto"/>
              <w:pStyle w:val="Compact"/>
              <w:jc w:val="right"/>
            </w:pPr>
            <w:r>
              <w:rPr>
                <w:sz w:val="20"/>
                <w:szCs w:val="20"/>
              </w:rPr>
              <w:t xml:space="preserve">+0.010 (+0.003, +0.016)</w:t>
            </w:r>
          </w:p>
        </w:tc>
      </w:tr>
      <w:tr>
        <w:tc>
          <w:tcPr>
            <w:tcW w:w="619" w:type="dxa"/>
          </w:tcPr>
          <w:tcPr/>
          <w:p>
            <w:pPr>
              <w:spacing w:after="0" w:line="240" w:lineRule="auto"/>
              <w:pStyle w:val="Compact"/>
              <w:jc w:val="left"/>
            </w:pPr>
            <w:r>
              <w:rPr>
                <w:sz w:val="20"/>
                <w:szCs w:val="20"/>
              </w:rPr>
              <w:t xml:space="preserve">2015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17.62</w:t>
            </w:r>
          </w:p>
        </w:tc>
        <w:tc>
          <w:tcPr>
            <w:tcW w:w="714" w:type="dxa"/>
          </w:tcPr>
          <w:tcPr/>
          <w:p>
            <w:pPr>
              <w:spacing w:after="0" w:line="240" w:lineRule="auto"/>
              <w:pStyle w:val="Compact"/>
              <w:jc w:val="right"/>
            </w:pPr>
            <w:r>
              <w:rPr>
                <w:sz w:val="20"/>
                <w:szCs w:val="20"/>
              </w:rPr>
              <w:t xml:space="preserve">17.40</w:t>
            </w:r>
          </w:p>
        </w:tc>
        <w:tc>
          <w:tcPr>
            <w:tcW w:w="2140" w:type="dxa"/>
          </w:tcPr>
          <w:tcPr/>
          <w:p>
            <w:pPr>
              <w:spacing w:after="0" w:line="240" w:lineRule="auto"/>
              <w:pStyle w:val="Compact"/>
              <w:jc w:val="right"/>
            </w:pPr>
            <w:r>
              <w:rPr>
                <w:sz w:val="20"/>
                <w:szCs w:val="20"/>
              </w:rPr>
              <w:t xml:space="preserve">-0.22 (-0.31, -0.12)</w:t>
            </w:r>
          </w:p>
        </w:tc>
        <w:tc>
          <w:tcPr>
            <w:tcW w:w="999" w:type="dxa"/>
          </w:tcPr>
          <w:tcPr/>
          <w:p>
            <w:pPr>
              <w:spacing w:after="0" w:line="240" w:lineRule="auto"/>
              <w:pStyle w:val="Compact"/>
              <w:jc w:val="right"/>
            </w:pPr>
            <w:r>
              <w:rPr>
                <w:sz w:val="20"/>
                <w:szCs w:val="20"/>
              </w:rPr>
              <w:t xml:space="preserve">0.557</w:t>
            </w:r>
          </w:p>
        </w:tc>
        <w:tc>
          <w:tcPr>
            <w:tcW w:w="714" w:type="dxa"/>
          </w:tcPr>
          <w:tcPr/>
          <w:p>
            <w:pPr>
              <w:spacing w:after="0" w:line="240" w:lineRule="auto"/>
              <w:pStyle w:val="Compact"/>
              <w:jc w:val="right"/>
            </w:pPr>
            <w:r>
              <w:rPr>
                <w:sz w:val="20"/>
                <w:szCs w:val="20"/>
              </w:rPr>
              <w:t xml:space="preserve">0.550</w:t>
            </w:r>
          </w:p>
        </w:tc>
        <w:tc>
          <w:tcPr>
            <w:tcW w:w="2461" w:type="dxa"/>
          </w:tcPr>
          <w:tcPr/>
          <w:p>
            <w:pPr>
              <w:spacing w:after="0" w:line="240" w:lineRule="auto"/>
              <w:pStyle w:val="Compact"/>
              <w:jc w:val="right"/>
            </w:pPr>
            <w:r>
              <w:rPr>
                <w:sz w:val="20"/>
                <w:szCs w:val="20"/>
              </w:rPr>
              <w:t xml:space="preserve">-0.006 (-0.012, -0.000)</w:t>
            </w:r>
          </w:p>
        </w:tc>
      </w:tr>
      <w:tr>
        <w:tc>
          <w:tcPr>
            <w:tcW w:w="619" w:type="dxa"/>
          </w:tcPr>
          <w:tcPr/>
          <w:p>
            <w:pPr>
              <w:spacing w:after="0" w:line="240" w:lineRule="auto"/>
              <w:pStyle w:val="Compact"/>
              <w:jc w:val="left"/>
            </w:pPr>
            <w:r>
              <w:rPr>
                <w:sz w:val="20"/>
                <w:szCs w:val="20"/>
              </w:rPr>
              <w:t xml:space="preserve">2022</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17.94</w:t>
            </w:r>
          </w:p>
        </w:tc>
        <w:tc>
          <w:tcPr>
            <w:tcW w:w="714" w:type="dxa"/>
          </w:tcPr>
          <w:tcPr/>
          <w:p>
            <w:pPr>
              <w:spacing w:after="0" w:line="240" w:lineRule="auto"/>
              <w:pStyle w:val="Compact"/>
              <w:jc w:val="right"/>
            </w:pPr>
            <w:r>
              <w:rPr>
                <w:sz w:val="20"/>
                <w:szCs w:val="20"/>
              </w:rPr>
              <w:t xml:space="preserve">18.18</w:t>
            </w:r>
          </w:p>
        </w:tc>
        <w:tc>
          <w:tcPr>
            <w:tcW w:w="2140" w:type="dxa"/>
          </w:tcPr>
          <w:tcPr/>
          <w:p>
            <w:pPr>
              <w:spacing w:after="0" w:line="240" w:lineRule="auto"/>
              <w:pStyle w:val="Compact"/>
              <w:jc w:val="right"/>
            </w:pPr>
            <w:r>
              <w:rPr>
                <w:sz w:val="20"/>
                <w:szCs w:val="20"/>
              </w:rPr>
              <w:t xml:space="preserve">+0.24 (+0.16, +0.32)</w:t>
            </w:r>
          </w:p>
        </w:tc>
        <w:tc>
          <w:tcPr>
            <w:tcW w:w="999" w:type="dxa"/>
          </w:tcPr>
          <w:tcPr/>
          <w:p>
            <w:pPr>
              <w:spacing w:after="0" w:line="240" w:lineRule="auto"/>
              <w:pStyle w:val="Compact"/>
              <w:jc w:val="right"/>
            </w:pPr>
            <w:r>
              <w:rPr>
                <w:sz w:val="20"/>
                <w:szCs w:val="20"/>
              </w:rPr>
              <w:t xml:space="preserve">0.525</w:t>
            </w:r>
          </w:p>
        </w:tc>
        <w:tc>
          <w:tcPr>
            <w:tcW w:w="714" w:type="dxa"/>
          </w:tcPr>
          <w:tcPr/>
          <w:p>
            <w:pPr>
              <w:spacing w:after="0" w:line="240" w:lineRule="auto"/>
              <w:pStyle w:val="Compact"/>
              <w:jc w:val="right"/>
            </w:pPr>
            <w:r>
              <w:rPr>
                <w:sz w:val="20"/>
                <w:szCs w:val="20"/>
              </w:rPr>
              <w:t xml:space="preserve">0.535</w:t>
            </w:r>
          </w:p>
        </w:tc>
        <w:tc>
          <w:tcPr>
            <w:tcW w:w="2461" w:type="dxa"/>
          </w:tcPr>
          <w:tcPr/>
          <w:p>
            <w:pPr>
              <w:spacing w:after="0" w:line="240" w:lineRule="auto"/>
              <w:pStyle w:val="Compact"/>
              <w:jc w:val="right"/>
            </w:pPr>
            <w:r>
              <w:rPr>
                <w:sz w:val="20"/>
                <w:szCs w:val="20"/>
              </w:rPr>
              <w:t xml:space="preserve">+0.011 (+0.004, +0.017)</w:t>
            </w:r>
          </w:p>
        </w:tc>
      </w:tr>
      <w:tr>
        <w:tc>
          <w:tcPr>
            <w:tcW w:w="619" w:type="dxa"/>
          </w:tcPr>
          <w:tcPr/>
          <w:p>
            <w:pPr>
              <w:spacing w:after="0" w:line="240" w:lineRule="auto"/>
              <w:pStyle w:val="Compact"/>
              <w:jc w:val="left"/>
            </w:pPr>
            <w:r>
              <w:rPr>
                <w:sz w:val="20"/>
                <w:szCs w:val="20"/>
              </w:rPr>
              <w:t xml:space="preserve">2022</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18.58</w:t>
            </w:r>
          </w:p>
        </w:tc>
        <w:tc>
          <w:tcPr>
            <w:tcW w:w="714" w:type="dxa"/>
          </w:tcPr>
          <w:tcPr/>
          <w:p>
            <w:pPr>
              <w:spacing w:after="0" w:line="240" w:lineRule="auto"/>
              <w:pStyle w:val="Compact"/>
              <w:jc w:val="right"/>
            </w:pPr>
            <w:r>
              <w:rPr>
                <w:sz w:val="20"/>
                <w:szCs w:val="20"/>
              </w:rPr>
              <w:t xml:space="preserve">19.52</w:t>
            </w:r>
          </w:p>
        </w:tc>
        <w:tc>
          <w:tcPr>
            <w:tcW w:w="2140" w:type="dxa"/>
          </w:tcPr>
          <w:tcPr/>
          <w:p>
            <w:pPr>
              <w:spacing w:after="0" w:line="240" w:lineRule="auto"/>
              <w:pStyle w:val="Compact"/>
              <w:jc w:val="right"/>
            </w:pPr>
            <w:r>
              <w:rPr>
                <w:sz w:val="20"/>
                <w:szCs w:val="20"/>
              </w:rPr>
              <w:t xml:space="preserve">+0.93 (+0.87, +1.01)</w:t>
            </w:r>
          </w:p>
        </w:tc>
        <w:tc>
          <w:tcPr>
            <w:tcW w:w="999" w:type="dxa"/>
          </w:tcPr>
          <w:tcPr/>
          <w:p>
            <w:pPr>
              <w:spacing w:after="0" w:line="240" w:lineRule="auto"/>
              <w:pStyle w:val="Compact"/>
              <w:jc w:val="right"/>
            </w:pPr>
            <w:r>
              <w:rPr>
                <w:sz w:val="20"/>
                <w:szCs w:val="20"/>
              </w:rPr>
              <w:t xml:space="preserve">0.584</w:t>
            </w:r>
          </w:p>
        </w:tc>
        <w:tc>
          <w:tcPr>
            <w:tcW w:w="714" w:type="dxa"/>
          </w:tcPr>
          <w:tcPr/>
          <w:p>
            <w:pPr>
              <w:spacing w:after="0" w:line="240" w:lineRule="auto"/>
              <w:pStyle w:val="Compact"/>
              <w:jc w:val="right"/>
            </w:pPr>
            <w:r>
              <w:rPr>
                <w:sz w:val="20"/>
                <w:szCs w:val="20"/>
              </w:rPr>
              <w:t xml:space="preserve">0.625</w:t>
            </w:r>
          </w:p>
        </w:tc>
        <w:tc>
          <w:tcPr>
            <w:tcW w:w="2461" w:type="dxa"/>
          </w:tcPr>
          <w:tcPr/>
          <w:p>
            <w:pPr>
              <w:spacing w:after="0" w:line="240" w:lineRule="auto"/>
              <w:pStyle w:val="Compact"/>
              <w:jc w:val="right"/>
            </w:pPr>
            <w:r>
              <w:rPr>
                <w:sz w:val="20"/>
                <w:szCs w:val="20"/>
              </w:rPr>
              <w:t xml:space="preserve">+0.042 (+0.037, +0.047)</w:t>
            </w:r>
          </w:p>
        </w:tc>
      </w:tr>
      <w:tr>
        <w:tc>
          <w:tcPr>
            <w:tcW w:w="619" w:type="dxa"/>
          </w:tcPr>
          <w:tcPr/>
          <w:p>
            <w:pPr>
              <w:spacing w:after="0" w:line="240" w:lineRule="auto"/>
              <w:pStyle w:val="Compact"/>
              <w:jc w:val="left"/>
            </w:pPr>
            <w:r>
              <w:rPr>
                <w:sz w:val="20"/>
                <w:szCs w:val="20"/>
              </w:rPr>
              <w:t xml:space="preserve">2025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16.45</w:t>
            </w:r>
          </w:p>
        </w:tc>
        <w:tc>
          <w:tcPr>
            <w:tcW w:w="714" w:type="dxa"/>
          </w:tcPr>
          <w:tcPr/>
          <w:p>
            <w:pPr>
              <w:spacing w:after="0" w:line="240" w:lineRule="auto"/>
              <w:pStyle w:val="Compact"/>
              <w:jc w:val="right"/>
            </w:pPr>
            <w:r>
              <w:rPr>
                <w:sz w:val="20"/>
                <w:szCs w:val="20"/>
              </w:rPr>
              <w:t xml:space="preserve">16.47</w:t>
            </w:r>
          </w:p>
        </w:tc>
        <w:tc>
          <w:tcPr>
            <w:tcW w:w="2140" w:type="dxa"/>
          </w:tcPr>
          <w:tcPr/>
          <w:p>
            <w:pPr>
              <w:spacing w:after="0" w:line="240" w:lineRule="auto"/>
              <w:pStyle w:val="Compact"/>
              <w:jc w:val="right"/>
            </w:pPr>
            <w:r>
              <w:rPr>
                <w:sz w:val="20"/>
                <w:szCs w:val="20"/>
              </w:rPr>
              <w:t xml:space="preserve">+0.02 (-0.07, +0.13)</w:t>
            </w:r>
          </w:p>
        </w:tc>
        <w:tc>
          <w:tcPr>
            <w:tcW w:w="999" w:type="dxa"/>
          </w:tcPr>
          <w:tcPr/>
          <w:p>
            <w:pPr>
              <w:spacing w:after="0" w:line="240" w:lineRule="auto"/>
              <w:pStyle w:val="Compact"/>
              <w:jc w:val="right"/>
            </w:pPr>
            <w:r>
              <w:rPr>
                <w:sz w:val="20"/>
                <w:szCs w:val="20"/>
              </w:rPr>
              <w:t xml:space="preserve">0.404</w:t>
            </w:r>
          </w:p>
        </w:tc>
        <w:tc>
          <w:tcPr>
            <w:tcW w:w="714" w:type="dxa"/>
          </w:tcPr>
          <w:tcPr/>
          <w:p>
            <w:pPr>
              <w:spacing w:after="0" w:line="240" w:lineRule="auto"/>
              <w:pStyle w:val="Compact"/>
              <w:jc w:val="right"/>
            </w:pPr>
            <w:r>
              <w:rPr>
                <w:sz w:val="20"/>
                <w:szCs w:val="20"/>
              </w:rPr>
              <w:t xml:space="preserve">0.404</w:t>
            </w:r>
          </w:p>
        </w:tc>
        <w:tc>
          <w:tcPr>
            <w:tcW w:w="2461" w:type="dxa"/>
          </w:tcPr>
          <w:tcPr/>
          <w:p>
            <w:pPr>
              <w:spacing w:after="0" w:line="240" w:lineRule="auto"/>
              <w:pStyle w:val="Compact"/>
              <w:jc w:val="right"/>
            </w:pPr>
            <w:r>
              <w:rPr>
                <w:sz w:val="20"/>
                <w:szCs w:val="20"/>
              </w:rPr>
              <w:t xml:space="preserve">+0.000 (-0.008, +0.009)</w:t>
            </w:r>
          </w:p>
        </w:tc>
      </w:tr>
      <w:tr>
        <w:tc>
          <w:tcPr>
            <w:tcW w:w="619" w:type="dxa"/>
          </w:tcPr>
          <w:tcPr/>
          <w:p>
            <w:pPr>
              <w:spacing w:after="0" w:line="240" w:lineRule="auto"/>
              <w:pStyle w:val="Compact"/>
              <w:jc w:val="left"/>
            </w:pPr>
            <w:r>
              <w:rPr>
                <w:sz w:val="20"/>
                <w:szCs w:val="20"/>
              </w:rPr>
              <w:t xml:space="preserve">2025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17.83</w:t>
            </w:r>
          </w:p>
        </w:tc>
        <w:tc>
          <w:tcPr>
            <w:tcW w:w="714" w:type="dxa"/>
          </w:tcPr>
          <w:tcPr/>
          <w:p>
            <w:pPr>
              <w:spacing w:after="0" w:line="240" w:lineRule="auto"/>
              <w:pStyle w:val="Compact"/>
              <w:jc w:val="right"/>
            </w:pPr>
            <w:r>
              <w:rPr>
                <w:sz w:val="20"/>
                <w:szCs w:val="20"/>
              </w:rPr>
              <w:t xml:space="preserve">17.92</w:t>
            </w:r>
          </w:p>
        </w:tc>
        <w:tc>
          <w:tcPr>
            <w:tcW w:w="2140" w:type="dxa"/>
          </w:tcPr>
          <w:tcPr/>
          <w:p>
            <w:pPr>
              <w:spacing w:after="0" w:line="240" w:lineRule="auto"/>
              <w:pStyle w:val="Compact"/>
              <w:jc w:val="right"/>
            </w:pPr>
            <w:r>
              <w:rPr>
                <w:sz w:val="20"/>
                <w:szCs w:val="20"/>
              </w:rPr>
              <w:t xml:space="preserve">+0.09 (-0.02, +0.19)</w:t>
            </w:r>
          </w:p>
        </w:tc>
        <w:tc>
          <w:tcPr>
            <w:tcW w:w="999" w:type="dxa"/>
          </w:tcPr>
          <w:tcPr/>
          <w:p>
            <w:pPr>
              <w:spacing w:after="0" w:line="240" w:lineRule="auto"/>
              <w:pStyle w:val="Compact"/>
              <w:jc w:val="right"/>
            </w:pPr>
            <w:r>
              <w:rPr>
                <w:sz w:val="20"/>
                <w:szCs w:val="20"/>
              </w:rPr>
              <w:t xml:space="preserve">0.536</w:t>
            </w:r>
          </w:p>
        </w:tc>
        <w:tc>
          <w:tcPr>
            <w:tcW w:w="714" w:type="dxa"/>
          </w:tcPr>
          <w:tcPr/>
          <w:p>
            <w:pPr>
              <w:spacing w:after="0" w:line="240" w:lineRule="auto"/>
              <w:pStyle w:val="Compact"/>
              <w:jc w:val="right"/>
            </w:pPr>
            <w:r>
              <w:rPr>
                <w:sz w:val="20"/>
                <w:szCs w:val="20"/>
              </w:rPr>
              <w:t xml:space="preserve">0.539</w:t>
            </w:r>
          </w:p>
        </w:tc>
        <w:tc>
          <w:tcPr>
            <w:tcW w:w="2461" w:type="dxa"/>
          </w:tcPr>
          <w:tcPr/>
          <w:p>
            <w:pPr>
              <w:spacing w:after="0" w:line="240" w:lineRule="auto"/>
              <w:pStyle w:val="Compact"/>
              <w:jc w:val="right"/>
            </w:pPr>
            <w:r>
              <w:rPr>
                <w:sz w:val="20"/>
                <w:szCs w:val="20"/>
              </w:rPr>
              <w:t xml:space="preserve">+0.003 (-0.004, +0.010)</w:t>
            </w:r>
          </w:p>
        </w:tc>
      </w:tr>
    </w:tbl>
    <w:bookmarkEnd w:id="51"/>
    <w:bookmarkEnd w:id="52"/>
    <w:bookmarkStart w:id="77" w:name="methods"/>
    <w:p>
      <w:pPr>
        <w:pStyle w:val="Heading1"/>
      </w:pPr>
      <w:r>
        <w:t xml:space="preserve">3 Methods</w:t>
      </w:r>
    </w:p>
    <w:p>
      <w:pPr>
        <w:pStyle w:val="FirstParagraph"/>
      </w:pPr>
      <w:r>
        <w:t xml:space="preserve">The pipeline has two branches that share their definitions (Figure 1). For 2005, 2010, 2015 and 2022, each Census cycle is paired with the nearest GSS cycle and real diaries are matched to real Census persons (Section 3.5). For 2025, a generative model projects the Census population forward, and the synthetic persons are then matched to diaries in the same way (Sections 3.1 to 3.4). Section 3.6 describes the building simulations.</w:t>
      </w:r>
    </w:p>
    <w:p>
      <w:pPr>
        <w:pStyle w:val="BodyText"/>
        <w:keepNext/>
        <w:jc w:val="center"/>
      </w:pPr>
      <w:r>
        <w:drawing>
          <wp:inline>
            <wp:extent cx="5334000" cy="1041796"/>
            <wp:effectExtent b="0" l="0" r="0" t="0"/>
            <wp:docPr descr="" title="" id="54" name="Picture"/>
            <a:graphic>
              <a:graphicData uri="http://schemas.openxmlformats.org/drawingml/2006/picture">
                <pic:pic>
                  <pic:nvPicPr>
                    <pic:cNvPr descr="../figures/docx_media/word/media/image1.png" id="55" name="Picture"/>
                    <pic:cNvPicPr>
                      <a:picLocks noChangeArrowheads="1" noChangeAspect="1"/>
                    </pic:cNvPicPr>
                  </pic:nvPicPr>
                  <pic:blipFill>
                    <a:blip r:embed="rId53"/>
                    <a:stretch>
                      <a:fillRect/>
                    </a:stretch>
                  </pic:blipFill>
                  <pic:spPr bwMode="auto">
                    <a:xfrm>
                      <a:off x="0" y="0"/>
                      <a:ext cx="5334000" cy="1041796"/>
                    </a:xfrm>
                    <a:prstGeom prst="rect">
                      <a:avLst/>
                    </a:prstGeom>
                    <a:noFill/>
                    <a:ln w="9525">
                      <a:noFill/>
                      <a:headEnd/>
                      <a:tailEnd/>
                    </a:ln>
                  </pic:spPr>
                </pic:pic>
              </a:graphicData>
            </a:graphic>
          </wp:inline>
        </w:drawing>
      </w:r>
    </w:p>
    <w:p>
      <w:pPr>
        <w:pStyle w:val="BodyText"/>
      </w:pPr>
      <w:r>
        <w:t xml:space="preserve">Figure 1. Flow chart of the pipeline, from Census and GSS microdata to occupancy schedules and building simulation.</w:t>
      </w:r>
    </w:p>
    <w:bookmarkStart w:id="59" w:name="linking-census-and-gss-records"/>
    <w:p>
      <w:pPr>
        <w:pStyle w:val="Heading2"/>
      </w:pPr>
      <w:r>
        <w:t xml:space="preserve">3.1 Linking Census and GSS records</w:t>
      </w:r>
    </w:p>
    <w:p>
      <w:pPr>
        <w:pStyle w:val="FirstParagraph"/>
      </w:pPr>
      <w:r>
        <w:t xml:space="preserve">Census records are one row per person, while the GSS comes as a person file (one row per respondent) and an episode file (many rows per respondent). The two GSS files were joined on the respondent identifier (PUMFID), which attaches the respondent’s attributes to every episode (Figure 2); the episode files were read in blocks of 100,000 rows. Variable names were then mapped to the Census names (for example PRV to PR and HSDSIZEC to HHSIZE).</w:t>
      </w:r>
    </w:p>
    <w:p>
      <w:pPr>
        <w:pStyle w:val="BodyText"/>
        <w:keepNext/>
        <w:jc w:val="center"/>
      </w:pPr>
      <w:r>
        <w:drawing>
          <wp:inline>
            <wp:extent cx="5334000" cy="575592"/>
            <wp:effectExtent b="0" l="0" r="0" t="0"/>
            <wp:docPr descr="" title="" id="57" name="Picture"/>
            <a:graphic>
              <a:graphicData uri="http://schemas.openxmlformats.org/drawingml/2006/picture">
                <pic:pic>
                  <pic:nvPicPr>
                    <pic:cNvPr descr="../figures/docx_media/word/media/image3.png" id="58" name="Picture"/>
                    <pic:cNvPicPr>
                      <a:picLocks noChangeArrowheads="1" noChangeAspect="1"/>
                    </pic:cNvPicPr>
                  </pic:nvPicPr>
                  <pic:blipFill>
                    <a:blip r:embed="rId56"/>
                    <a:stretch>
                      <a:fillRect/>
                    </a:stretch>
                  </pic:blipFill>
                  <pic:spPr bwMode="auto">
                    <a:xfrm>
                      <a:off x="0" y="0"/>
                      <a:ext cx="5334000" cy="575592"/>
                    </a:xfrm>
                    <a:prstGeom prst="rect">
                      <a:avLst/>
                    </a:prstGeom>
                    <a:noFill/>
                    <a:ln w="9525">
                      <a:noFill/>
                      <a:headEnd/>
                      <a:tailEnd/>
                    </a:ln>
                  </pic:spPr>
                </pic:pic>
              </a:graphicData>
            </a:graphic>
          </wp:inline>
        </w:drawing>
      </w:r>
    </w:p>
    <w:p>
      <w:pPr>
        <w:pStyle w:val="BodyText"/>
      </w:pPr>
      <w:r>
        <w:t xml:space="preserve">Figure 2. Alignment of Census and GSS categorical data in five steps.</w:t>
      </w:r>
    </w:p>
    <w:bookmarkEnd w:id="59"/>
    <w:bookmarkStart w:id="63" w:name="Xd74d55a011a74131433cdfa07c8f51def3a34c5"/>
    <w:p>
      <w:pPr>
        <w:pStyle w:val="Heading2"/>
      </w:pPr>
      <w:r>
        <w:t xml:space="preserve">3.2 Generative model of the household population</w:t>
      </w:r>
    </w:p>
    <w:p>
      <w:pPr>
        <w:pStyle w:val="FirstParagraph"/>
      </w:pPr>
      <w:r>
        <w:t xml:space="preserve">A census is taken every five years and the latest cycle used here is 2021, so a 2025 population has to be projected. Census cycles are cross-sections of different households, so a model cannot follow the same household through time. The approach taken here models the population distribution instead. A multi-head C-VAE (Figure 3) compresses each person’s demographic attributes into a latent vector, conditioned on the attributes of the dwelling (dwelling type, tenure, number of rooms and bedrooms, condition and value), and a decoder reconstructs the demographic attributes from the latent vector and the dwelling attributes. The encoder and decoder were trained on the pooled 2006, 2011, 2016 and 2021 Census files for 100 epochs with the Adam optimiser and a 128-dimensional latent space, with softmax heads for categorical variables and sigmoid heads for scaled continuous variables. On the training data, the decoder recovered the original category in more than 80 % of records for the categorical variables and reproduced more than 92 % of the variance of the continuous variables (age, household size and income).</w:t>
      </w:r>
    </w:p>
    <w:p>
      <w:pPr>
        <w:pStyle w:val="BodyText"/>
        <w:keepNext/>
        <w:jc w:val="center"/>
      </w:pPr>
      <w:r>
        <w:drawing>
          <wp:inline>
            <wp:extent cx="5334000" cy="1203135"/>
            <wp:effectExtent b="0" l="0" r="0" t="0"/>
            <wp:docPr descr="" title="" id="61" name="Picture"/>
            <a:graphic>
              <a:graphicData uri="http://schemas.openxmlformats.org/drawingml/2006/picture">
                <pic:pic>
                  <pic:nvPicPr>
                    <pic:cNvPr descr="../figures/docx_media/word/media/image4.png" id="62" name="Picture"/>
                    <pic:cNvPicPr>
                      <a:picLocks noChangeArrowheads="1" noChangeAspect="1"/>
                    </pic:cNvPicPr>
                  </pic:nvPicPr>
                  <pic:blipFill>
                    <a:blip r:embed="rId60"/>
                    <a:stretch>
                      <a:fillRect/>
                    </a:stretch>
                  </pic:blipFill>
                  <pic:spPr bwMode="auto">
                    <a:xfrm>
                      <a:off x="0" y="0"/>
                      <a:ext cx="5334000" cy="1203135"/>
                    </a:xfrm>
                    <a:prstGeom prst="rect">
                      <a:avLst/>
                    </a:prstGeom>
                    <a:noFill/>
                    <a:ln w="9525">
                      <a:noFill/>
                      <a:headEnd/>
                      <a:tailEnd/>
                    </a:ln>
                  </pic:spPr>
                </pic:pic>
              </a:graphicData>
            </a:graphic>
          </wp:inline>
        </w:drawing>
      </w:r>
    </w:p>
    <w:p>
      <w:pPr>
        <w:pStyle w:val="BodyText"/>
      </w:pPr>
      <w:r>
        <w:t xml:space="preserve">Figure 3. Structure of the multi-head C-VAE.</w:t>
      </w:r>
    </w:p>
    <w:bookmarkEnd w:id="63"/>
    <w:bookmarkStart w:id="64" w:name="X695972c06242cc78ae3ac6680e7973775c1b8e1"/>
    <w:p>
      <w:pPr>
        <w:pStyle w:val="Heading2"/>
      </w:pPr>
      <w:r>
        <w:t xml:space="preserve">3.3 Cluster-based drift to 2025 and its hindcast test</w:t>
      </w:r>
    </w:p>
    <w:p>
      <w:pPr>
        <w:pStyle w:val="FirstParagraph"/>
      </w:pPr>
      <w:r>
        <w:t xml:space="preserve">The latent vectors of each census year are the starting point of the projection. A single mean shift of the whole population would move every person the same way and pull the projected population towards its average. The cluster-based vector momentum (CBVM) model instead groups the 2006 latent vectors into K = 8 clusters with k-means, assigns the vectors of every later year to those clusters, and tracks each cluster’s mean from cycle to cycle. The velocity of cluster k is the change of its mean per year over each census interval; the last interval gets a weight of 0.5 and the earlier ones share the remaining 0.5. A person drawn from the last census year is moved by the velocity of its cluster times the projection horizon, multiplied by a decay of 0.95 per five years to keep long projections from diverging. Gaussian noise equal to 15 % of each latent dimension’s spread is then added, and the decoder produces the projected person, conditioned on dwelling attributes resampled from the last census year. For 2025, the source year is 2021 and the horizon four years. The dwelling stock is therefore held at its 2021 composition, so the 2025 cohort reflects demographic drift only.</w:t>
      </w:r>
    </w:p>
    <w:p>
      <w:pPr>
        <w:pStyle w:val="BodyText"/>
      </w:pPr>
      <w:r>
        <w:rPr>
          <w:b/>
          <w:bCs/>
        </w:rPr>
        <w:t xml:space="preserve">Hindcast.</w:t>
      </w:r>
      <w:r>
        <w:t xml:space="preserve"> </w:t>
      </w:r>
      <w:r>
        <w:t xml:space="preserve">The submitted version of this paper supported the projection with a qualitative comparison only. The projection is now tested quantitatively. The C-VAE was retrained on the 2006, 2011 and 2016 files only, CBVM was fitted to those three years, and the 2016 population was projected five years ahead to 2021, conditioned on the 2016 dwelling stock (the same rule as the 2025 projection). The projected 2021 population was compared with the held-out 2021 Census on every generated demographic variable, using the total-variation distance for categorical variables and the Wasserstein-1 distance on range-scaled values for continuous ones. Three baselines were scored the same way [32, 33]: B0, carry-forward (the 2016 population used as the 2021 prediction); B1, linear extrapolation of each variable’s 2011–2016 change in category shares (or percentiles); and B2, a population-mean drift (the same model with a single cluster). The pass rule was written before the hindcast was run: CBVM must have a smaller distance than B0 on more than half of the variables, averaged over five random seeds; otherwise the claim that CBVM projects better than carrying the last census forward is dropped. The sensitivity of the hindcast and of the 2025 cohort to K (4, 8, 12), the decay factor (0.90, 0.95, 1.00) and the latent size (64, 128, 256) was also computed. The hindcast is unweighted, like the rest of the pipeline.</w:t>
      </w:r>
    </w:p>
    <w:bookmarkEnd w:id="64"/>
    <w:bookmarkStart w:id="68" w:name="X6af1a2b790581ab9b52d805fb013e42b1d0b755"/>
    <w:p>
      <w:pPr>
        <w:pStyle w:val="Heading2"/>
      </w:pPr>
      <w:r>
        <w:t xml:space="preserve">3.4 From synthetic persons to household schedules</w:t>
      </w:r>
    </w:p>
    <w:p>
      <w:pPr>
        <w:pStyle w:val="FirstParagraph"/>
      </w:pPr>
      <w:r>
        <w:t xml:space="preserve">The projected persons were assembled into households by a priority-based algorithm that enforces household size, spousal age differences and parent–child age relationships. Each person was then matched to a GSS diary, separately for a weekday and a weekend diary, through four tiers (Figure 4). In the 2025 branch, Tier 1 requires an exact match on ten person variables (household size, weekly hours worked, age group, marital status, sex, knowledge of official languages, occupation, province, class of worker and commuting mode) and five dwelling variables (dwelling type, bedrooms, condominium status, rooms and condition); Tier 2 keeps household size, hours worked, age group, sex, class of worker and the five dwelling variables; Tier 3 keeps household size, hours worked and age group; and Tier 4 matches on household size only. The historical branches (Section 3.5) use the same cascade with the variables available in each cycle: Tier 1 uses all harmonised linking variables, Tier 2 household size, age group, sex, marital status, labour force status and province, Tier 3 household size, age group and sex, and Tier 4 household size. Table 5 gives the share of persons matched at each tier, read from the matcher’s output. In 2025, 97 % of the weekday matches and 94 % of the weekend matches were made at Tier 1 or 2; in the historical cycles, which have fewer linking variables, most matches were made at Tier 2 or 3, and Tier 4 was never above 2 % on weekdays or 5.3 % on weekends.</w:t>
      </w:r>
    </w:p>
    <w:p>
      <w:pPr>
        <w:pStyle w:val="BodyText"/>
      </w:pPr>
      <w:r>
        <w:t xml:space="preserve">Table 5. Share of persons (%) matched at each tier, weekday and weekend diaries.</w:t>
      </w:r>
    </w:p>
    <w:tbl>
      <w:tblPr>
        <w:tblStyle w:val="Table"/>
        <w:tblW w:type="pct" w:w="5000"/>
        <w:tblLayout w:type="fixed"/>
        <w:tblCellMar>
          <w:left w:w="72" w:type="dxa"/>
          <w:right w:w="72" w:type="dxa"/>
        </w:tblCellMar>
        <w:tblLook w:firstRow="1" w:lastRow="0" w:firstColumn="0" w:lastColumn="0" w:noHBand="0" w:noVBand="0" w:val="0020"/>
      </w:tblPr>
      <w:tblGrid>
        <w:gridCol w:w="900"/>
        <w:gridCol w:w="1440"/>
        <w:gridCol w:w="720"/>
        <w:gridCol w:w="720"/>
        <w:gridCol w:w="720"/>
        <w:gridCol w:w="1440"/>
        <w:gridCol w:w="720"/>
        <w:gridCol w:w="720"/>
        <w:gridCol w:w="720"/>
        <w:gridCol w:w="1260"/>
      </w:tblGrid>
      <w:tr>
        <w:trPr>
          <w:tblHeader w:val="on"/>
        </w:trPr>
        <w:tc>
          <w:tcPr>
            <w:tcW w:w="900" w:type="dxa"/>
          </w:tcPr>
          <w:tcPr/>
          <w:p>
            <w:pPr>
              <w:spacing w:after="0" w:line="240" w:lineRule="auto"/>
              <w:pStyle w:val="Compact"/>
              <w:jc w:val="left"/>
            </w:pPr>
            <w:r>
              <w:rPr>
                <w:sz w:val="20"/>
                <w:szCs w:val="20"/>
              </w:rPr>
              <w:t xml:space="preserve">Cycle</w:t>
            </w:r>
          </w:p>
        </w:tc>
        <w:tc>
          <w:tcPr>
            <w:tcW w:w="1440" w:type="dxa"/>
          </w:tcPr>
          <w:tcPr/>
          <w:p>
            <w:pPr>
              <w:spacing w:after="0" w:line="240" w:lineRule="auto"/>
              <w:pStyle w:val="Compact"/>
              <w:jc w:val="right"/>
            </w:pPr>
            <w:r>
              <w:rPr>
                <w:sz w:val="20"/>
                <w:szCs w:val="20"/>
              </w:rPr>
              <w:t xml:space="preserve">Weekday: Tier 1</w:t>
            </w:r>
          </w:p>
        </w:tc>
        <w:tc>
          <w:tcPr>
            <w:tcW w:w="720" w:type="dxa"/>
          </w:tcPr>
          <w:tcPr/>
          <w:p>
            <w:pPr>
              <w:spacing w:after="0" w:line="240" w:lineRule="auto"/>
              <w:pStyle w:val="Compact"/>
              <w:jc w:val="right"/>
            </w:pPr>
            <w:r>
              <w:rPr>
                <w:sz w:val="20"/>
                <w:szCs w:val="20"/>
              </w:rPr>
              <w:t xml:space="preserve">Tier 2</w:t>
            </w:r>
          </w:p>
        </w:tc>
        <w:tc>
          <w:tcPr>
            <w:tcW w:w="720" w:type="dxa"/>
          </w:tcPr>
          <w:tcPr/>
          <w:p>
            <w:pPr>
              <w:spacing w:after="0" w:line="240" w:lineRule="auto"/>
              <w:pStyle w:val="Compact"/>
              <w:jc w:val="right"/>
            </w:pPr>
            <w:r>
              <w:rPr>
                <w:sz w:val="20"/>
                <w:szCs w:val="20"/>
              </w:rPr>
              <w:t xml:space="preserve">Tier 3</w:t>
            </w:r>
          </w:p>
        </w:tc>
        <w:tc>
          <w:tcPr>
            <w:tcW w:w="720" w:type="dxa"/>
          </w:tcPr>
          <w:tcPr/>
          <w:p>
            <w:pPr>
              <w:spacing w:after="0" w:line="240" w:lineRule="auto"/>
              <w:pStyle w:val="Compact"/>
              <w:jc w:val="right"/>
            </w:pPr>
            <w:r>
              <w:rPr>
                <w:sz w:val="20"/>
                <w:szCs w:val="20"/>
              </w:rPr>
              <w:t xml:space="preserve">Tier 4</w:t>
            </w:r>
          </w:p>
        </w:tc>
        <w:tc>
          <w:tcPr>
            <w:tcW w:w="1440" w:type="dxa"/>
          </w:tcPr>
          <w:tcPr/>
          <w:p>
            <w:pPr>
              <w:spacing w:after="0" w:line="240" w:lineRule="auto"/>
              <w:pStyle w:val="Compact"/>
              <w:jc w:val="right"/>
            </w:pPr>
            <w:r>
              <w:rPr>
                <w:sz w:val="20"/>
                <w:szCs w:val="20"/>
              </w:rPr>
              <w:t xml:space="preserve">Weekend: Tier 1</w:t>
            </w:r>
          </w:p>
        </w:tc>
        <w:tc>
          <w:tcPr>
            <w:tcW w:w="720" w:type="dxa"/>
          </w:tcPr>
          <w:tcPr/>
          <w:p>
            <w:pPr>
              <w:spacing w:after="0" w:line="240" w:lineRule="auto"/>
              <w:pStyle w:val="Compact"/>
              <w:jc w:val="right"/>
            </w:pPr>
            <w:r>
              <w:rPr>
                <w:sz w:val="20"/>
                <w:szCs w:val="20"/>
              </w:rPr>
              <w:t xml:space="preserve">Tier 2</w:t>
            </w:r>
          </w:p>
        </w:tc>
        <w:tc>
          <w:tcPr>
            <w:tcW w:w="720" w:type="dxa"/>
          </w:tcPr>
          <w:tcPr/>
          <w:p>
            <w:pPr>
              <w:spacing w:after="0" w:line="240" w:lineRule="auto"/>
              <w:pStyle w:val="Compact"/>
              <w:jc w:val="right"/>
            </w:pPr>
            <w:r>
              <w:rPr>
                <w:sz w:val="20"/>
                <w:szCs w:val="20"/>
              </w:rPr>
              <w:t xml:space="preserve">Tier 3</w:t>
            </w:r>
          </w:p>
        </w:tc>
        <w:tc>
          <w:tcPr>
            <w:tcW w:w="720" w:type="dxa"/>
          </w:tcPr>
          <w:tcPr/>
          <w:p>
            <w:pPr>
              <w:spacing w:after="0" w:line="240" w:lineRule="auto"/>
              <w:pStyle w:val="Compact"/>
              <w:jc w:val="right"/>
            </w:pPr>
            <w:r>
              <w:rPr>
                <w:sz w:val="20"/>
                <w:szCs w:val="20"/>
              </w:rPr>
              <w:t xml:space="preserve">Tier 4</w:t>
            </w:r>
          </w:p>
        </w:tc>
        <w:tc>
          <w:tcPr>
            <w:tcW w:w="1260" w:type="dxa"/>
          </w:tcPr>
          <w:tcPr/>
          <w:p>
            <w:pPr>
              <w:spacing w:after="0" w:line="240" w:lineRule="auto"/>
              <w:pStyle w:val="Compact"/>
              <w:jc w:val="right"/>
            </w:pPr>
            <w:r>
              <w:rPr>
                <w:sz w:val="20"/>
                <w:szCs w:val="20"/>
              </w:rPr>
              <w:t xml:space="preserve">Persons</w:t>
            </w:r>
          </w:p>
        </w:tc>
      </w:tr>
      <w:tr>
        <w:tc>
          <w:tcPr>
            <w:tcW w:w="900" w:type="dxa"/>
          </w:tcPr>
          <w:tcPr/>
          <w:p>
            <w:pPr>
              <w:spacing w:after="0" w:line="240" w:lineRule="auto"/>
              <w:pStyle w:val="Compact"/>
              <w:jc w:val="left"/>
            </w:pPr>
            <w:r>
              <w:rPr>
                <w:sz w:val="20"/>
                <w:szCs w:val="20"/>
              </w:rPr>
              <w:t xml:space="preserve">2005</w:t>
            </w:r>
          </w:p>
        </w:tc>
        <w:tc>
          <w:tcPr>
            <w:tcW w:w="1440" w:type="dxa"/>
          </w:tcPr>
          <w:tcPr/>
          <w:p>
            <w:pPr>
              <w:spacing w:after="0" w:line="240" w:lineRule="auto"/>
              <w:pStyle w:val="Compact"/>
              <w:jc w:val="right"/>
            </w:pPr>
            <w:r>
              <w:rPr>
                <w:sz w:val="20"/>
                <w:szCs w:val="20"/>
              </w:rPr>
              <w:t xml:space="preserve">0.1</w:t>
            </w:r>
          </w:p>
        </w:tc>
        <w:tc>
          <w:tcPr>
            <w:tcW w:w="720" w:type="dxa"/>
          </w:tcPr>
          <w:tcPr/>
          <w:p>
            <w:pPr>
              <w:spacing w:after="0" w:line="240" w:lineRule="auto"/>
              <w:pStyle w:val="Compact"/>
              <w:jc w:val="right"/>
            </w:pPr>
            <w:r>
              <w:rPr>
                <w:sz w:val="20"/>
                <w:szCs w:val="20"/>
              </w:rPr>
              <w:t xml:space="preserve">41.6</w:t>
            </w:r>
          </w:p>
        </w:tc>
        <w:tc>
          <w:tcPr>
            <w:tcW w:w="720" w:type="dxa"/>
          </w:tcPr>
          <w:tcPr/>
          <w:p>
            <w:pPr>
              <w:spacing w:after="0" w:line="240" w:lineRule="auto"/>
              <w:pStyle w:val="Compact"/>
              <w:jc w:val="right"/>
            </w:pPr>
            <w:r>
              <w:rPr>
                <w:sz w:val="20"/>
                <w:szCs w:val="20"/>
              </w:rPr>
              <w:t xml:space="preserve">58.0</w:t>
            </w:r>
          </w:p>
        </w:tc>
        <w:tc>
          <w:tcPr>
            <w:tcW w:w="720" w:type="dxa"/>
          </w:tcPr>
          <w:tcPr/>
          <w:p>
            <w:pPr>
              <w:spacing w:after="0" w:line="240" w:lineRule="auto"/>
              <w:pStyle w:val="Compact"/>
              <w:jc w:val="right"/>
            </w:pPr>
            <w:r>
              <w:rPr>
                <w:sz w:val="20"/>
                <w:szCs w:val="20"/>
              </w:rPr>
              <w:t xml:space="preserve">0.2</w:t>
            </w:r>
          </w:p>
        </w:tc>
        <w:tc>
          <w:tcPr>
            <w:tcW w:w="1440" w:type="dxa"/>
          </w:tcPr>
          <w:tcPr/>
          <w:p>
            <w:pPr>
              <w:spacing w:after="0" w:line="240" w:lineRule="auto"/>
              <w:pStyle w:val="Compact"/>
              <w:jc w:val="right"/>
            </w:pPr>
            <w:r>
              <w:rPr>
                <w:sz w:val="20"/>
                <w:szCs w:val="20"/>
              </w:rPr>
              <w:t xml:space="preserve">0.0</w:t>
            </w:r>
          </w:p>
        </w:tc>
        <w:tc>
          <w:tcPr>
            <w:tcW w:w="720" w:type="dxa"/>
          </w:tcPr>
          <w:tcPr/>
          <w:p>
            <w:pPr>
              <w:spacing w:after="0" w:line="240" w:lineRule="auto"/>
              <w:pStyle w:val="Compact"/>
              <w:jc w:val="right"/>
            </w:pPr>
            <w:r>
              <w:rPr>
                <w:sz w:val="20"/>
                <w:szCs w:val="20"/>
              </w:rPr>
              <w:t xml:space="preserve">28.3</w:t>
            </w:r>
          </w:p>
        </w:tc>
        <w:tc>
          <w:tcPr>
            <w:tcW w:w="720" w:type="dxa"/>
          </w:tcPr>
          <w:tcPr/>
          <w:p>
            <w:pPr>
              <w:spacing w:after="0" w:line="240" w:lineRule="auto"/>
              <w:pStyle w:val="Compact"/>
              <w:jc w:val="right"/>
            </w:pPr>
            <w:r>
              <w:rPr>
                <w:sz w:val="20"/>
                <w:szCs w:val="20"/>
              </w:rPr>
              <w:t xml:space="preserve">71.1</w:t>
            </w:r>
          </w:p>
        </w:tc>
        <w:tc>
          <w:tcPr>
            <w:tcW w:w="720" w:type="dxa"/>
          </w:tcPr>
          <w:tcPr/>
          <w:p>
            <w:pPr>
              <w:spacing w:after="0" w:line="240" w:lineRule="auto"/>
              <w:pStyle w:val="Compact"/>
              <w:jc w:val="right"/>
            </w:pPr>
            <w:r>
              <w:rPr>
                <w:sz w:val="20"/>
                <w:szCs w:val="20"/>
              </w:rPr>
              <w:t xml:space="preserve">0.5</w:t>
            </w:r>
          </w:p>
        </w:tc>
        <w:tc>
          <w:tcPr>
            <w:tcW w:w="1260" w:type="dxa"/>
          </w:tcPr>
          <w:tcPr/>
          <w:p>
            <w:pPr>
              <w:spacing w:after="0" w:line="240" w:lineRule="auto"/>
              <w:pStyle w:val="Compact"/>
              <w:jc w:val="right"/>
            </w:pPr>
            <w:r>
              <w:rPr>
                <w:sz w:val="20"/>
                <w:szCs w:val="20"/>
              </w:rPr>
              <w:t xml:space="preserve">54,423</w:t>
            </w:r>
          </w:p>
        </w:tc>
      </w:tr>
      <w:tr>
        <w:tc>
          <w:tcPr>
            <w:tcW w:w="900" w:type="dxa"/>
          </w:tcPr>
          <w:tcPr/>
          <w:p>
            <w:pPr>
              <w:spacing w:after="0" w:line="240" w:lineRule="auto"/>
              <w:pStyle w:val="Compact"/>
              <w:jc w:val="left"/>
            </w:pPr>
            <w:r>
              <w:rPr>
                <w:sz w:val="20"/>
                <w:szCs w:val="20"/>
              </w:rPr>
              <w:t xml:space="preserve">2010</w:t>
            </w:r>
          </w:p>
        </w:tc>
        <w:tc>
          <w:tcPr>
            <w:tcW w:w="1440" w:type="dxa"/>
          </w:tcPr>
          <w:tcPr/>
          <w:p>
            <w:pPr>
              <w:spacing w:after="0" w:line="240" w:lineRule="auto"/>
              <w:pStyle w:val="Compact"/>
              <w:jc w:val="right"/>
            </w:pPr>
            <w:r>
              <w:rPr>
                <w:sz w:val="20"/>
                <w:szCs w:val="20"/>
              </w:rPr>
              <w:t xml:space="preserve">7.5</w:t>
            </w:r>
          </w:p>
        </w:tc>
        <w:tc>
          <w:tcPr>
            <w:tcW w:w="720" w:type="dxa"/>
          </w:tcPr>
          <w:tcPr/>
          <w:p>
            <w:pPr>
              <w:spacing w:after="0" w:line="240" w:lineRule="auto"/>
              <w:pStyle w:val="Compact"/>
              <w:jc w:val="right"/>
            </w:pPr>
            <w:r>
              <w:rPr>
                <w:sz w:val="20"/>
                <w:szCs w:val="20"/>
              </w:rPr>
              <w:t xml:space="preserve">54.5</w:t>
            </w:r>
          </w:p>
        </w:tc>
        <w:tc>
          <w:tcPr>
            <w:tcW w:w="720" w:type="dxa"/>
          </w:tcPr>
          <w:tcPr/>
          <w:p>
            <w:pPr>
              <w:spacing w:after="0" w:line="240" w:lineRule="auto"/>
              <w:pStyle w:val="Compact"/>
              <w:jc w:val="right"/>
            </w:pPr>
            <w:r>
              <w:rPr>
                <w:sz w:val="20"/>
                <w:szCs w:val="20"/>
              </w:rPr>
              <w:t xml:space="preserve">37.4</w:t>
            </w:r>
          </w:p>
        </w:tc>
        <w:tc>
          <w:tcPr>
            <w:tcW w:w="720" w:type="dxa"/>
          </w:tcPr>
          <w:tcPr/>
          <w:p>
            <w:pPr>
              <w:spacing w:after="0" w:line="240" w:lineRule="auto"/>
              <w:pStyle w:val="Compact"/>
              <w:jc w:val="right"/>
            </w:pPr>
            <w:r>
              <w:rPr>
                <w:sz w:val="20"/>
                <w:szCs w:val="20"/>
              </w:rPr>
              <w:t xml:space="preserve">0.6</w:t>
            </w:r>
          </w:p>
        </w:tc>
        <w:tc>
          <w:tcPr>
            <w:tcW w:w="1440" w:type="dxa"/>
          </w:tcPr>
          <w:tcPr/>
          <w:p>
            <w:pPr>
              <w:spacing w:after="0" w:line="240" w:lineRule="auto"/>
              <w:pStyle w:val="Compact"/>
              <w:jc w:val="right"/>
            </w:pPr>
            <w:r>
              <w:rPr>
                <w:sz w:val="20"/>
                <w:szCs w:val="20"/>
              </w:rPr>
              <w:t xml:space="preserve">3.4</w:t>
            </w:r>
          </w:p>
        </w:tc>
        <w:tc>
          <w:tcPr>
            <w:tcW w:w="720" w:type="dxa"/>
          </w:tcPr>
          <w:tcPr/>
          <w:p>
            <w:pPr>
              <w:spacing w:after="0" w:line="240" w:lineRule="auto"/>
              <w:pStyle w:val="Compact"/>
              <w:jc w:val="right"/>
            </w:pPr>
            <w:r>
              <w:rPr>
                <w:sz w:val="20"/>
                <w:szCs w:val="20"/>
              </w:rPr>
              <w:t xml:space="preserve">39.4</w:t>
            </w:r>
          </w:p>
        </w:tc>
        <w:tc>
          <w:tcPr>
            <w:tcW w:w="720" w:type="dxa"/>
          </w:tcPr>
          <w:tcPr/>
          <w:p>
            <w:pPr>
              <w:spacing w:after="0" w:line="240" w:lineRule="auto"/>
              <w:pStyle w:val="Compact"/>
              <w:jc w:val="right"/>
            </w:pPr>
            <w:r>
              <w:rPr>
                <w:sz w:val="20"/>
                <w:szCs w:val="20"/>
              </w:rPr>
              <w:t xml:space="preserve">55.6</w:t>
            </w:r>
          </w:p>
        </w:tc>
        <w:tc>
          <w:tcPr>
            <w:tcW w:w="720" w:type="dxa"/>
          </w:tcPr>
          <w:tcPr/>
          <w:p>
            <w:pPr>
              <w:spacing w:after="0" w:line="240" w:lineRule="auto"/>
              <w:pStyle w:val="Compact"/>
              <w:jc w:val="right"/>
            </w:pPr>
            <w:r>
              <w:rPr>
                <w:sz w:val="20"/>
                <w:szCs w:val="20"/>
              </w:rPr>
              <w:t xml:space="preserve">1.7</w:t>
            </w:r>
          </w:p>
        </w:tc>
        <w:tc>
          <w:tcPr>
            <w:tcW w:w="1260" w:type="dxa"/>
          </w:tcPr>
          <w:tcPr/>
          <w:p>
            <w:pPr>
              <w:spacing w:after="0" w:line="240" w:lineRule="auto"/>
              <w:pStyle w:val="Compact"/>
              <w:jc w:val="right"/>
            </w:pPr>
            <w:r>
              <w:rPr>
                <w:sz w:val="20"/>
                <w:szCs w:val="20"/>
              </w:rPr>
              <w:t xml:space="preserve">66,169</w:t>
            </w:r>
          </w:p>
        </w:tc>
      </w:tr>
      <w:tr>
        <w:tc>
          <w:tcPr>
            <w:tcW w:w="900" w:type="dxa"/>
          </w:tcPr>
          <w:tcPr/>
          <w:p>
            <w:pPr>
              <w:spacing w:after="0" w:line="240" w:lineRule="auto"/>
              <w:pStyle w:val="Compact"/>
              <w:jc w:val="left"/>
            </w:pPr>
            <w:r>
              <w:rPr>
                <w:sz w:val="20"/>
                <w:szCs w:val="20"/>
              </w:rPr>
              <w:t xml:space="preserve">2015</w:t>
            </w:r>
          </w:p>
        </w:tc>
        <w:tc>
          <w:tcPr>
            <w:tcW w:w="1440" w:type="dxa"/>
          </w:tcPr>
          <w:tcPr/>
          <w:p>
            <w:pPr>
              <w:spacing w:after="0" w:line="240" w:lineRule="auto"/>
              <w:pStyle w:val="Compact"/>
              <w:jc w:val="right"/>
            </w:pPr>
            <w:r>
              <w:rPr>
                <w:sz w:val="20"/>
                <w:szCs w:val="20"/>
              </w:rPr>
              <w:t xml:space="preserve">5.7</w:t>
            </w:r>
          </w:p>
        </w:tc>
        <w:tc>
          <w:tcPr>
            <w:tcW w:w="720" w:type="dxa"/>
          </w:tcPr>
          <w:tcPr/>
          <w:p>
            <w:pPr>
              <w:spacing w:after="0" w:line="240" w:lineRule="auto"/>
              <w:pStyle w:val="Compact"/>
              <w:jc w:val="right"/>
            </w:pPr>
            <w:r>
              <w:rPr>
                <w:sz w:val="20"/>
                <w:szCs w:val="20"/>
              </w:rPr>
              <w:t xml:space="preserve">28.4</w:t>
            </w:r>
          </w:p>
        </w:tc>
        <w:tc>
          <w:tcPr>
            <w:tcW w:w="720" w:type="dxa"/>
          </w:tcPr>
          <w:tcPr/>
          <w:p>
            <w:pPr>
              <w:spacing w:after="0" w:line="240" w:lineRule="auto"/>
              <w:pStyle w:val="Compact"/>
              <w:jc w:val="right"/>
            </w:pPr>
            <w:r>
              <w:rPr>
                <w:sz w:val="20"/>
                <w:szCs w:val="20"/>
              </w:rPr>
              <w:t xml:space="preserve">65.5</w:t>
            </w:r>
          </w:p>
        </w:tc>
        <w:tc>
          <w:tcPr>
            <w:tcW w:w="720" w:type="dxa"/>
          </w:tcPr>
          <w:tcPr/>
          <w:p>
            <w:pPr>
              <w:spacing w:after="0" w:line="240" w:lineRule="auto"/>
              <w:pStyle w:val="Compact"/>
              <w:jc w:val="right"/>
            </w:pPr>
            <w:r>
              <w:rPr>
                <w:sz w:val="20"/>
                <w:szCs w:val="20"/>
              </w:rPr>
              <w:t xml:space="preserve">0.5</w:t>
            </w:r>
          </w:p>
        </w:tc>
        <w:tc>
          <w:tcPr>
            <w:tcW w:w="1440" w:type="dxa"/>
          </w:tcPr>
          <w:tcPr/>
          <w:p>
            <w:pPr>
              <w:spacing w:after="0" w:line="240" w:lineRule="auto"/>
              <w:pStyle w:val="Compact"/>
              <w:jc w:val="right"/>
            </w:pPr>
            <w:r>
              <w:rPr>
                <w:sz w:val="20"/>
                <w:szCs w:val="20"/>
              </w:rPr>
              <w:t xml:space="preserve">2.6</w:t>
            </w:r>
          </w:p>
        </w:tc>
        <w:tc>
          <w:tcPr>
            <w:tcW w:w="720" w:type="dxa"/>
          </w:tcPr>
          <w:tcPr/>
          <w:p>
            <w:pPr>
              <w:spacing w:after="0" w:line="240" w:lineRule="auto"/>
              <w:pStyle w:val="Compact"/>
              <w:jc w:val="right"/>
            </w:pPr>
            <w:r>
              <w:rPr>
                <w:sz w:val="20"/>
                <w:szCs w:val="20"/>
              </w:rPr>
              <w:t xml:space="preserve">21.8</w:t>
            </w:r>
          </w:p>
        </w:tc>
        <w:tc>
          <w:tcPr>
            <w:tcW w:w="720" w:type="dxa"/>
          </w:tcPr>
          <w:tcPr/>
          <w:p>
            <w:pPr>
              <w:spacing w:after="0" w:line="240" w:lineRule="auto"/>
              <w:pStyle w:val="Compact"/>
              <w:jc w:val="right"/>
            </w:pPr>
            <w:r>
              <w:rPr>
                <w:sz w:val="20"/>
                <w:szCs w:val="20"/>
              </w:rPr>
              <w:t xml:space="preserve">75.3</w:t>
            </w:r>
          </w:p>
        </w:tc>
        <w:tc>
          <w:tcPr>
            <w:tcW w:w="720" w:type="dxa"/>
          </w:tcPr>
          <w:tcPr/>
          <w:p>
            <w:pPr>
              <w:spacing w:after="0" w:line="240" w:lineRule="auto"/>
              <w:pStyle w:val="Compact"/>
              <w:jc w:val="right"/>
            </w:pPr>
            <w:r>
              <w:rPr>
                <w:sz w:val="20"/>
                <w:szCs w:val="20"/>
              </w:rPr>
              <w:t xml:space="preserve">0.4</w:t>
            </w:r>
          </w:p>
        </w:tc>
        <w:tc>
          <w:tcPr>
            <w:tcW w:w="1260" w:type="dxa"/>
          </w:tcPr>
          <w:tcPr/>
          <w:p>
            <w:pPr>
              <w:spacing w:after="0" w:line="240" w:lineRule="auto"/>
              <w:pStyle w:val="Compact"/>
              <w:jc w:val="right"/>
            </w:pPr>
            <w:r>
              <w:rPr>
                <w:sz w:val="20"/>
                <w:szCs w:val="20"/>
              </w:rPr>
              <w:t xml:space="preserve">56,018</w:t>
            </w:r>
          </w:p>
        </w:tc>
      </w:tr>
      <w:tr>
        <w:tc>
          <w:tcPr>
            <w:tcW w:w="900" w:type="dxa"/>
          </w:tcPr>
          <w:tcPr/>
          <w:p>
            <w:pPr>
              <w:spacing w:after="0" w:line="240" w:lineRule="auto"/>
              <w:pStyle w:val="Compact"/>
              <w:jc w:val="left"/>
            </w:pPr>
            <w:r>
              <w:rPr>
                <w:sz w:val="20"/>
                <w:szCs w:val="20"/>
              </w:rPr>
              <w:t xml:space="preserve">2022</w:t>
            </w:r>
          </w:p>
        </w:tc>
        <w:tc>
          <w:tcPr>
            <w:tcW w:w="1440" w:type="dxa"/>
          </w:tcPr>
          <w:tcPr/>
          <w:p>
            <w:pPr>
              <w:spacing w:after="0" w:line="240" w:lineRule="auto"/>
              <w:pStyle w:val="Compact"/>
              <w:jc w:val="right"/>
            </w:pPr>
            <w:r>
              <w:rPr>
                <w:sz w:val="20"/>
                <w:szCs w:val="20"/>
              </w:rPr>
              <w:t xml:space="preserve">31.3</w:t>
            </w:r>
          </w:p>
        </w:tc>
        <w:tc>
          <w:tcPr>
            <w:tcW w:w="720" w:type="dxa"/>
          </w:tcPr>
          <w:tcPr/>
          <w:p>
            <w:pPr>
              <w:spacing w:after="0" w:line="240" w:lineRule="auto"/>
              <w:pStyle w:val="Compact"/>
              <w:jc w:val="right"/>
            </w:pPr>
            <w:r>
              <w:rPr>
                <w:sz w:val="20"/>
                <w:szCs w:val="20"/>
              </w:rPr>
              <w:t xml:space="preserve">25.7</w:t>
            </w:r>
          </w:p>
        </w:tc>
        <w:tc>
          <w:tcPr>
            <w:tcW w:w="720" w:type="dxa"/>
          </w:tcPr>
          <w:tcPr/>
          <w:p>
            <w:pPr>
              <w:spacing w:after="0" w:line="240" w:lineRule="auto"/>
              <w:pStyle w:val="Compact"/>
              <w:jc w:val="right"/>
            </w:pPr>
            <w:r>
              <w:rPr>
                <w:sz w:val="20"/>
                <w:szCs w:val="20"/>
              </w:rPr>
              <w:t xml:space="preserve">41.2</w:t>
            </w:r>
          </w:p>
        </w:tc>
        <w:tc>
          <w:tcPr>
            <w:tcW w:w="720" w:type="dxa"/>
          </w:tcPr>
          <w:tcPr/>
          <w:p>
            <w:pPr>
              <w:spacing w:after="0" w:line="240" w:lineRule="auto"/>
              <w:pStyle w:val="Compact"/>
              <w:jc w:val="right"/>
            </w:pPr>
            <w:r>
              <w:rPr>
                <w:sz w:val="20"/>
                <w:szCs w:val="20"/>
              </w:rPr>
              <w:t xml:space="preserve">1.8</w:t>
            </w:r>
          </w:p>
        </w:tc>
        <w:tc>
          <w:tcPr>
            <w:tcW w:w="1440" w:type="dxa"/>
          </w:tcPr>
          <w:tcPr/>
          <w:p>
            <w:pPr>
              <w:spacing w:after="0" w:line="240" w:lineRule="auto"/>
              <w:pStyle w:val="Compact"/>
              <w:jc w:val="right"/>
            </w:pPr>
            <w:r>
              <w:rPr>
                <w:sz w:val="20"/>
                <w:szCs w:val="20"/>
              </w:rPr>
              <w:t xml:space="preserve">16.5</w:t>
            </w:r>
          </w:p>
        </w:tc>
        <w:tc>
          <w:tcPr>
            <w:tcW w:w="720" w:type="dxa"/>
          </w:tcPr>
          <w:tcPr/>
          <w:p>
            <w:pPr>
              <w:spacing w:after="0" w:line="240" w:lineRule="auto"/>
              <w:pStyle w:val="Compact"/>
              <w:jc w:val="right"/>
            </w:pPr>
            <w:r>
              <w:rPr>
                <w:sz w:val="20"/>
                <w:szCs w:val="20"/>
              </w:rPr>
              <w:t xml:space="preserve">25.8</w:t>
            </w:r>
          </w:p>
        </w:tc>
        <w:tc>
          <w:tcPr>
            <w:tcW w:w="720" w:type="dxa"/>
          </w:tcPr>
          <w:tcPr/>
          <w:p>
            <w:pPr>
              <w:spacing w:after="0" w:line="240" w:lineRule="auto"/>
              <w:pStyle w:val="Compact"/>
              <w:jc w:val="right"/>
            </w:pPr>
            <w:r>
              <w:rPr>
                <w:sz w:val="20"/>
                <w:szCs w:val="20"/>
              </w:rPr>
              <w:t xml:space="preserve">52.4</w:t>
            </w:r>
          </w:p>
        </w:tc>
        <w:tc>
          <w:tcPr>
            <w:tcW w:w="720" w:type="dxa"/>
          </w:tcPr>
          <w:tcPr/>
          <w:p>
            <w:pPr>
              <w:spacing w:after="0" w:line="240" w:lineRule="auto"/>
              <w:pStyle w:val="Compact"/>
              <w:jc w:val="right"/>
            </w:pPr>
            <w:r>
              <w:rPr>
                <w:sz w:val="20"/>
                <w:szCs w:val="20"/>
              </w:rPr>
              <w:t xml:space="preserve">5.3</w:t>
            </w:r>
          </w:p>
        </w:tc>
        <w:tc>
          <w:tcPr>
            <w:tcW w:w="1260" w:type="dxa"/>
          </w:tcPr>
          <w:tcPr/>
          <w:p>
            <w:pPr>
              <w:spacing w:after="0" w:line="240" w:lineRule="auto"/>
              <w:pStyle w:val="Compact"/>
              <w:jc w:val="right"/>
            </w:pPr>
            <w:r>
              <w:rPr>
                <w:sz w:val="20"/>
                <w:szCs w:val="20"/>
              </w:rPr>
              <w:t xml:space="preserve">67,723</w:t>
            </w:r>
          </w:p>
        </w:tc>
      </w:tr>
      <w:tr>
        <w:tc>
          <w:tcPr>
            <w:tcW w:w="900" w:type="dxa"/>
          </w:tcPr>
          <w:tcPr/>
          <w:p>
            <w:pPr>
              <w:spacing w:after="0" w:line="240" w:lineRule="auto"/>
              <w:pStyle w:val="Compact"/>
              <w:jc w:val="left"/>
            </w:pPr>
            <w:r>
              <w:rPr>
                <w:sz w:val="20"/>
                <w:szCs w:val="20"/>
              </w:rPr>
              <w:t xml:space="preserve">2025</w:t>
            </w:r>
          </w:p>
        </w:tc>
        <w:tc>
          <w:tcPr>
            <w:tcW w:w="1440" w:type="dxa"/>
          </w:tcPr>
          <w:tcPr/>
          <w:p>
            <w:pPr>
              <w:spacing w:after="0" w:line="240" w:lineRule="auto"/>
              <w:pStyle w:val="Compact"/>
              <w:jc w:val="right"/>
            </w:pPr>
            <w:r>
              <w:rPr>
                <w:sz w:val="20"/>
                <w:szCs w:val="20"/>
              </w:rPr>
              <w:t xml:space="preserve">27.0</w:t>
            </w:r>
          </w:p>
        </w:tc>
        <w:tc>
          <w:tcPr>
            <w:tcW w:w="720" w:type="dxa"/>
          </w:tcPr>
          <w:tcPr/>
          <w:p>
            <w:pPr>
              <w:spacing w:after="0" w:line="240" w:lineRule="auto"/>
              <w:pStyle w:val="Compact"/>
              <w:jc w:val="right"/>
            </w:pPr>
            <w:r>
              <w:rPr>
                <w:sz w:val="20"/>
                <w:szCs w:val="20"/>
              </w:rPr>
              <w:t xml:space="preserve">70.1</w:t>
            </w:r>
          </w:p>
        </w:tc>
        <w:tc>
          <w:tcPr>
            <w:tcW w:w="720" w:type="dxa"/>
          </w:tcPr>
          <w:tcPr/>
          <w:p>
            <w:pPr>
              <w:spacing w:after="0" w:line="240" w:lineRule="auto"/>
              <w:pStyle w:val="Compact"/>
              <w:jc w:val="right"/>
            </w:pPr>
            <w:r>
              <w:rPr>
                <w:sz w:val="20"/>
                <w:szCs w:val="20"/>
              </w:rPr>
              <w:t xml:space="preserve">2.7</w:t>
            </w:r>
          </w:p>
        </w:tc>
        <w:tc>
          <w:tcPr>
            <w:tcW w:w="720" w:type="dxa"/>
          </w:tcPr>
          <w:tcPr/>
          <w:p>
            <w:pPr>
              <w:spacing w:after="0" w:line="240" w:lineRule="auto"/>
              <w:pStyle w:val="Compact"/>
              <w:jc w:val="right"/>
            </w:pPr>
            <w:r>
              <w:rPr>
                <w:sz w:val="20"/>
                <w:szCs w:val="20"/>
              </w:rPr>
              <w:t xml:space="preserve">0.2</w:t>
            </w:r>
          </w:p>
        </w:tc>
        <w:tc>
          <w:tcPr>
            <w:tcW w:w="1440" w:type="dxa"/>
          </w:tcPr>
          <w:tcPr/>
          <w:p>
            <w:pPr>
              <w:spacing w:after="0" w:line="240" w:lineRule="auto"/>
              <w:pStyle w:val="Compact"/>
              <w:jc w:val="right"/>
            </w:pPr>
            <w:r>
              <w:rPr>
                <w:sz w:val="20"/>
                <w:szCs w:val="20"/>
              </w:rPr>
              <w:t xml:space="preserve">16.6</w:t>
            </w:r>
          </w:p>
        </w:tc>
        <w:tc>
          <w:tcPr>
            <w:tcW w:w="720" w:type="dxa"/>
          </w:tcPr>
          <w:tcPr/>
          <w:p>
            <w:pPr>
              <w:spacing w:after="0" w:line="240" w:lineRule="auto"/>
              <w:pStyle w:val="Compact"/>
              <w:jc w:val="right"/>
            </w:pPr>
            <w:r>
              <w:rPr>
                <w:sz w:val="20"/>
                <w:szCs w:val="20"/>
              </w:rPr>
              <w:t xml:space="preserve">77.5</w:t>
            </w:r>
          </w:p>
        </w:tc>
        <w:tc>
          <w:tcPr>
            <w:tcW w:w="720" w:type="dxa"/>
          </w:tcPr>
          <w:tcPr/>
          <w:p>
            <w:pPr>
              <w:spacing w:after="0" w:line="240" w:lineRule="auto"/>
              <w:pStyle w:val="Compact"/>
              <w:jc w:val="right"/>
            </w:pPr>
            <w:r>
              <w:rPr>
                <w:sz w:val="20"/>
                <w:szCs w:val="20"/>
              </w:rPr>
              <w:t xml:space="preserve">5.4</w:t>
            </w:r>
          </w:p>
        </w:tc>
        <w:tc>
          <w:tcPr>
            <w:tcW w:w="720" w:type="dxa"/>
          </w:tcPr>
          <w:tcPr/>
          <w:p>
            <w:pPr>
              <w:spacing w:after="0" w:line="240" w:lineRule="auto"/>
              <w:pStyle w:val="Compact"/>
              <w:jc w:val="right"/>
            </w:pPr>
            <w:r>
              <w:rPr>
                <w:sz w:val="20"/>
                <w:szCs w:val="20"/>
              </w:rPr>
              <w:t xml:space="preserve">0.6</w:t>
            </w:r>
          </w:p>
        </w:tc>
        <w:tc>
          <w:tcPr>
            <w:tcW w:w="1260" w:type="dxa"/>
          </w:tcPr>
          <w:tcPr/>
          <w:p>
            <w:pPr>
              <w:spacing w:after="0" w:line="240" w:lineRule="auto"/>
              <w:pStyle w:val="Compact"/>
              <w:jc w:val="right"/>
            </w:pPr>
            <w:r>
              <w:rPr>
                <w:sz w:val="20"/>
                <w:szCs w:val="20"/>
              </w:rPr>
              <w:t xml:space="preserve">30,273</w:t>
            </w:r>
          </w:p>
        </w:tc>
      </w:tr>
    </w:tbl>
    <w:p>
      <w:pPr>
        <w:pStyle w:val="BodyText"/>
        <w:keepNext/>
        <w:jc w:val="center"/>
      </w:pPr>
      <w:r>
        <w:drawing>
          <wp:inline>
            <wp:extent cx="5334000" cy="929803"/>
            <wp:effectExtent b="0" l="0" r="0" t="0"/>
            <wp:docPr descr="" title="" id="66" name="Picture"/>
            <a:graphic>
              <a:graphicData uri="http://schemas.openxmlformats.org/drawingml/2006/picture">
                <pic:pic>
                  <pic:nvPicPr>
                    <pic:cNvPr descr="../figures/docx_media/word/media/image6.png" id="67" name="Picture"/>
                    <pic:cNvPicPr>
                      <a:picLocks noChangeArrowheads="1" noChangeAspect="1"/>
                    </pic:cNvPicPr>
                  </pic:nvPicPr>
                  <pic:blipFill>
                    <a:blip r:embed="rId65"/>
                    <a:stretch>
                      <a:fillRect/>
                    </a:stretch>
                  </pic:blipFill>
                  <pic:spPr bwMode="auto">
                    <a:xfrm>
                      <a:off x="0" y="0"/>
                      <a:ext cx="5334000" cy="929803"/>
                    </a:xfrm>
                    <a:prstGeom prst="rect">
                      <a:avLst/>
                    </a:prstGeom>
                    <a:noFill/>
                    <a:ln w="9525">
                      <a:noFill/>
                      <a:headEnd/>
                      <a:tailEnd/>
                    </a:ln>
                  </pic:spPr>
                </pic:pic>
              </a:graphicData>
            </a:graphic>
          </wp:inline>
        </w:drawing>
      </w:r>
    </w:p>
    <w:p>
      <w:pPr>
        <w:pStyle w:val="BodyText"/>
      </w:pPr>
      <w:r>
        <w:t xml:space="preserve">Figure 4. Behavioural profile matching workflow.</w:t>
      </w:r>
    </w:p>
    <w:p>
      <w:pPr>
        <w:pStyle w:val="BodyText"/>
      </w:pPr>
      <w:r>
        <w:t xml:space="preserve">The C-VAE outputs three coarse dwelling classes. Two random forest classifiers trained on the 2006 and 2011 Census, where the eight-class dwelling type is available, split them into the eight classes by probabilistic sampling (Appendix A, Figure A2).</w:t>
      </w:r>
    </w:p>
    <w:p>
      <w:pPr>
        <w:pStyle w:val="BodyText"/>
      </w:pPr>
      <w:r>
        <w:t xml:space="preserve">The five-minute diary states of all members with a diary were combined into a household schedule. The occupancy fraction at each time step is the share of these members who are at home; children under 15 have no diary, so they do not enter the fraction, and the denominator is the number of members who have a schedule. Activities were mapped to metabolic rates (sleep 70 W, passive leisure 85 W, work 125 W, active leisure 245 W per person) and the five-minute values were averaged to hourly values for EnergyPlus.</w:t>
      </w:r>
    </w:p>
    <w:bookmarkEnd w:id="68"/>
    <w:bookmarkStart w:id="69" w:name="historical-cycles"/>
    <w:p>
      <w:pPr>
        <w:pStyle w:val="Heading2"/>
      </w:pPr>
      <w:r>
        <w:t xml:space="preserve">3.5 Historical cycles</w:t>
      </w:r>
    </w:p>
    <w:p>
      <w:pPr>
        <w:pStyle w:val="FirstParagraph"/>
      </w:pPr>
      <w:r>
        <w:t xml:space="preserve">The four historical datasets pair each Census cycle with the nearest GSS cycle (06CEN05GSS, 11CEN10GSS, 16CEN15GSS and 21CEN22GSS) and use real respondents only: the same harmonisation, the same tiered matching, the same household aggregation and the same hourly conversion as the 2025 branch, without the generative step (Table 6). The number of harmonised linking variables falls from 11 to 8 in the newer cycles because the public files dropped variables. The 2016 PUMF gives only three dwelling classes, which were expanded with the classifiers of Section 3.4; the 2021 PUMF keeps the three classes.</w:t>
      </w:r>
    </w:p>
    <w:p>
      <w:pPr>
        <w:pStyle w:val="BodyText"/>
      </w:pPr>
      <w:r>
        <w:t xml:space="preserve">Table 6. The four historical pipelines.</w:t>
      </w:r>
    </w:p>
    <w:tbl>
      <w:tblPr>
        <w:tblStyle w:val="Table"/>
        <w:tblW w:type="pct" w:w="5000"/>
        <w:tblLayout w:type="fixed"/>
        <w:tblCellMar>
          <w:left w:w="72" w:type="dxa"/>
          <w:right w:w="72" w:type="dxa"/>
        </w:tblCellMar>
        <w:tblLook w:firstRow="1" w:lastRow="0" w:firstColumn="0" w:lastColumn="0" w:noHBand="0" w:noVBand="0" w:val="0020"/>
      </w:tblPr>
      <w:tblGrid>
        <w:gridCol w:w="3120"/>
        <w:gridCol w:w="1560"/>
        <w:gridCol w:w="1560"/>
        <w:gridCol w:w="1560"/>
        <w:gridCol w:w="1560"/>
      </w:tblGrid>
      <w:tr>
        <w:trPr>
          <w:tblHeader w:val="on"/>
        </w:trPr>
        <w:tc>
          <w:tcPr>
            <w:tcW w:w="3120" w:type="dxa"/>
          </w:tcPr>
          <w:tcPr/>
          <w:p>
            <w:pPr>
              <w:spacing w:after="0" w:line="240" w:lineRule="auto"/>
              <w:pStyle w:val="Compact"/>
              <w:jc w:val="left"/>
            </w:pPr>
            <w:r>
              <w:rPr>
                <w:sz w:val="20"/>
                <w:szCs w:val="20"/>
              </w:rPr>
              <w:t xml:space="preserve">Feature</w:t>
            </w:r>
          </w:p>
        </w:tc>
        <w:tc>
          <w:tcPr>
            <w:tcW w:w="1560" w:type="dxa"/>
          </w:tcPr>
          <w:tcPr/>
          <w:p>
            <w:pPr>
              <w:spacing w:after="0" w:line="240" w:lineRule="auto"/>
              <w:pStyle w:val="Compact"/>
              <w:jc w:val="center"/>
            </w:pPr>
            <w:r>
              <w:rPr>
                <w:sz w:val="20"/>
                <w:szCs w:val="20"/>
              </w:rPr>
              <w:t xml:space="preserve">06CEN05GSS</w:t>
            </w:r>
          </w:p>
        </w:tc>
        <w:tc>
          <w:tcPr>
            <w:tcW w:w="1560" w:type="dxa"/>
          </w:tcPr>
          <w:tcPr/>
          <w:p>
            <w:pPr>
              <w:spacing w:after="0" w:line="240" w:lineRule="auto"/>
              <w:pStyle w:val="Compact"/>
              <w:jc w:val="center"/>
            </w:pPr>
            <w:r>
              <w:rPr>
                <w:sz w:val="20"/>
                <w:szCs w:val="20"/>
              </w:rPr>
              <w:t xml:space="preserve">11CEN10GSS</w:t>
            </w:r>
          </w:p>
        </w:tc>
        <w:tc>
          <w:tcPr>
            <w:tcW w:w="1560" w:type="dxa"/>
          </w:tcPr>
          <w:tcPr/>
          <w:p>
            <w:pPr>
              <w:spacing w:after="0" w:line="240" w:lineRule="auto"/>
              <w:pStyle w:val="Compact"/>
              <w:jc w:val="center"/>
            </w:pPr>
            <w:r>
              <w:rPr>
                <w:sz w:val="20"/>
                <w:szCs w:val="20"/>
              </w:rPr>
              <w:t xml:space="preserve">16CEN15GSS</w:t>
            </w:r>
          </w:p>
        </w:tc>
        <w:tc>
          <w:tcPr>
            <w:tcW w:w="1560" w:type="dxa"/>
          </w:tcPr>
          <w:tcPr/>
          <w:p>
            <w:pPr>
              <w:spacing w:after="0" w:line="240" w:lineRule="auto"/>
              <w:pStyle w:val="Compact"/>
              <w:jc w:val="center"/>
            </w:pPr>
            <w:r>
              <w:rPr>
                <w:sz w:val="20"/>
                <w:szCs w:val="20"/>
              </w:rPr>
              <w:t xml:space="preserve">21CEN22GSS</w:t>
            </w:r>
          </w:p>
        </w:tc>
      </w:tr>
      <w:tr>
        <w:tc>
          <w:tcPr>
            <w:tcW w:w="3120" w:type="dxa"/>
          </w:tcPr>
          <w:tcPr/>
          <w:p>
            <w:pPr>
              <w:spacing w:after="0" w:line="240" w:lineRule="auto"/>
              <w:pStyle w:val="Compact"/>
              <w:jc w:val="left"/>
            </w:pPr>
            <w:r>
              <w:rPr>
                <w:sz w:val="20"/>
                <w:szCs w:val="20"/>
              </w:rPr>
              <w:t xml:space="preserve">Census year</w:t>
            </w:r>
          </w:p>
        </w:tc>
        <w:tc>
          <w:tcPr>
            <w:tcW w:w="1560" w:type="dxa"/>
          </w:tcPr>
          <w:tcPr/>
          <w:p>
            <w:pPr>
              <w:spacing w:after="0" w:line="240" w:lineRule="auto"/>
              <w:pStyle w:val="Compact"/>
              <w:jc w:val="center"/>
            </w:pPr>
            <w:r>
              <w:rPr>
                <w:sz w:val="20"/>
                <w:szCs w:val="20"/>
              </w:rPr>
              <w:t xml:space="preserve">2006</w:t>
            </w:r>
          </w:p>
        </w:tc>
        <w:tc>
          <w:tcPr>
            <w:tcW w:w="1560" w:type="dxa"/>
          </w:tcPr>
          <w:tcPr/>
          <w:p>
            <w:pPr>
              <w:spacing w:after="0" w:line="240" w:lineRule="auto"/>
              <w:pStyle w:val="Compact"/>
              <w:jc w:val="center"/>
            </w:pPr>
            <w:r>
              <w:rPr>
                <w:sz w:val="20"/>
                <w:szCs w:val="20"/>
              </w:rPr>
              <w:t xml:space="preserve">2011</w:t>
            </w:r>
          </w:p>
        </w:tc>
        <w:tc>
          <w:tcPr>
            <w:tcW w:w="1560" w:type="dxa"/>
          </w:tcPr>
          <w:tcPr/>
          <w:p>
            <w:pPr>
              <w:spacing w:after="0" w:line="240" w:lineRule="auto"/>
              <w:pStyle w:val="Compact"/>
              <w:jc w:val="center"/>
            </w:pPr>
            <w:r>
              <w:rPr>
                <w:sz w:val="20"/>
                <w:szCs w:val="20"/>
              </w:rPr>
              <w:t xml:space="preserve">2016</w:t>
            </w:r>
          </w:p>
        </w:tc>
        <w:tc>
          <w:tcPr>
            <w:tcW w:w="1560" w:type="dxa"/>
          </w:tcPr>
          <w:tcPr/>
          <w:p>
            <w:pPr>
              <w:spacing w:after="0" w:line="240" w:lineRule="auto"/>
              <w:pStyle w:val="Compact"/>
              <w:jc w:val="center"/>
            </w:pPr>
            <w:r>
              <w:rPr>
                <w:sz w:val="20"/>
                <w:szCs w:val="20"/>
              </w:rPr>
              <w:t xml:space="preserve">2021</w:t>
            </w:r>
          </w:p>
        </w:tc>
      </w:tr>
      <w:tr>
        <w:tc>
          <w:tcPr>
            <w:tcW w:w="3120" w:type="dxa"/>
          </w:tcPr>
          <w:tcPr/>
          <w:p>
            <w:pPr>
              <w:spacing w:after="0" w:line="240" w:lineRule="auto"/>
              <w:pStyle w:val="Compact"/>
              <w:jc w:val="left"/>
            </w:pPr>
            <w:r>
              <w:rPr>
                <w:sz w:val="20"/>
                <w:szCs w:val="20"/>
              </w:rPr>
              <w:t xml:space="preserve">GSS year (cycle)</w:t>
            </w:r>
          </w:p>
        </w:tc>
        <w:tc>
          <w:tcPr>
            <w:tcW w:w="1560" w:type="dxa"/>
          </w:tcPr>
          <w:tcPr/>
          <w:p>
            <w:pPr>
              <w:spacing w:after="0" w:line="240" w:lineRule="auto"/>
              <w:pStyle w:val="Compact"/>
              <w:jc w:val="center"/>
            </w:pPr>
            <w:r>
              <w:rPr>
                <w:sz w:val="20"/>
                <w:szCs w:val="20"/>
              </w:rPr>
              <w:t xml:space="preserve">2005 (19)</w:t>
            </w:r>
          </w:p>
        </w:tc>
        <w:tc>
          <w:tcPr>
            <w:tcW w:w="1560" w:type="dxa"/>
          </w:tcPr>
          <w:tcPr/>
          <w:p>
            <w:pPr>
              <w:spacing w:after="0" w:line="240" w:lineRule="auto"/>
              <w:pStyle w:val="Compact"/>
              <w:jc w:val="center"/>
            </w:pPr>
            <w:r>
              <w:rPr>
                <w:sz w:val="20"/>
                <w:szCs w:val="20"/>
              </w:rPr>
              <w:t xml:space="preserve">2010 (24)</w:t>
            </w:r>
          </w:p>
        </w:tc>
        <w:tc>
          <w:tcPr>
            <w:tcW w:w="1560" w:type="dxa"/>
          </w:tcPr>
          <w:tcPr/>
          <w:p>
            <w:pPr>
              <w:spacing w:after="0" w:line="240" w:lineRule="auto"/>
              <w:pStyle w:val="Compact"/>
              <w:jc w:val="center"/>
            </w:pPr>
            <w:r>
              <w:rPr>
                <w:sz w:val="20"/>
                <w:szCs w:val="20"/>
              </w:rPr>
              <w:t xml:space="preserve">2015 (29)</w:t>
            </w:r>
          </w:p>
        </w:tc>
        <w:tc>
          <w:tcPr>
            <w:tcW w:w="1560" w:type="dxa"/>
          </w:tcPr>
          <w:tcPr/>
          <w:p>
            <w:pPr>
              <w:spacing w:after="0" w:line="240" w:lineRule="auto"/>
              <w:pStyle w:val="Compact"/>
              <w:jc w:val="center"/>
            </w:pPr>
            <w:r>
              <w:rPr>
                <w:sz w:val="20"/>
                <w:szCs w:val="20"/>
              </w:rPr>
              <w:t xml:space="preserve">2022 (38)</w:t>
            </w:r>
          </w:p>
        </w:tc>
      </w:tr>
      <w:tr>
        <w:tc>
          <w:tcPr>
            <w:tcW w:w="3120" w:type="dxa"/>
          </w:tcPr>
          <w:tcPr/>
          <w:p>
            <w:pPr>
              <w:spacing w:after="0" w:line="240" w:lineRule="auto"/>
              <w:pStyle w:val="Compact"/>
              <w:jc w:val="left"/>
            </w:pPr>
            <w:r>
              <w:rPr>
                <w:sz w:val="20"/>
                <w:szCs w:val="20"/>
              </w:rPr>
              <w:t xml:space="preserve">Harmonised linking variables</w:t>
            </w:r>
          </w:p>
        </w:tc>
        <w:tc>
          <w:tcPr>
            <w:tcW w:w="1560" w:type="dxa"/>
          </w:tcPr>
          <w:tcPr/>
          <w:p>
            <w:pPr>
              <w:spacing w:after="0" w:line="240" w:lineRule="auto"/>
              <w:pStyle w:val="Compact"/>
              <w:jc w:val="center"/>
            </w:pPr>
            <w:r>
              <w:rPr>
                <w:sz w:val="20"/>
                <w:szCs w:val="20"/>
              </w:rPr>
              <w:t xml:space="preserve">11</w:t>
            </w:r>
          </w:p>
        </w:tc>
        <w:tc>
          <w:tcPr>
            <w:tcW w:w="1560" w:type="dxa"/>
          </w:tcPr>
          <w:tcPr/>
          <w:p>
            <w:pPr>
              <w:spacing w:after="0" w:line="240" w:lineRule="auto"/>
              <w:pStyle w:val="Compact"/>
              <w:jc w:val="center"/>
            </w:pPr>
            <w:r>
              <w:rPr>
                <w:sz w:val="20"/>
                <w:szCs w:val="20"/>
              </w:rPr>
              <w:t xml:space="preserve">10</w:t>
            </w:r>
          </w:p>
        </w:tc>
        <w:tc>
          <w:tcPr>
            <w:tcW w:w="1560" w:type="dxa"/>
          </w:tcPr>
          <w:tcPr/>
          <w:p>
            <w:pPr>
              <w:spacing w:after="0" w:line="240" w:lineRule="auto"/>
              <w:pStyle w:val="Compact"/>
              <w:jc w:val="center"/>
            </w:pPr>
            <w:r>
              <w:rPr>
                <w:sz w:val="20"/>
                <w:szCs w:val="20"/>
              </w:rPr>
              <w:t xml:space="preserve">9</w:t>
            </w:r>
          </w:p>
        </w:tc>
        <w:tc>
          <w:tcPr>
            <w:tcW w:w="1560" w:type="dxa"/>
          </w:tcPr>
          <w:tcPr/>
          <w:p>
            <w:pPr>
              <w:spacing w:after="0" w:line="240" w:lineRule="auto"/>
              <w:pStyle w:val="Compact"/>
              <w:jc w:val="center"/>
            </w:pPr>
            <w:r>
              <w:rPr>
                <w:sz w:val="20"/>
                <w:szCs w:val="20"/>
              </w:rPr>
              <w:t xml:space="preserve">8</w:t>
            </w:r>
          </w:p>
        </w:tc>
      </w:tr>
      <w:tr>
        <w:tc>
          <w:tcPr>
            <w:tcW w:w="3120" w:type="dxa"/>
          </w:tcPr>
          <w:tcPr/>
          <w:p>
            <w:pPr>
              <w:spacing w:after="0" w:line="240" w:lineRule="auto"/>
              <w:pStyle w:val="Compact"/>
              <w:jc w:val="left"/>
            </w:pPr>
            <w:r>
              <w:rPr>
                <w:sz w:val="20"/>
                <w:szCs w:val="20"/>
              </w:rPr>
              <w:t xml:space="preserve">Census households sampled</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r>
      <w:tr>
        <w:tc>
          <w:tcPr>
            <w:tcW w:w="3120" w:type="dxa"/>
          </w:tcPr>
          <w:tcPr/>
          <w:p>
            <w:pPr>
              <w:spacing w:after="0" w:line="240" w:lineRule="auto"/>
              <w:pStyle w:val="Compact"/>
              <w:jc w:val="left"/>
            </w:pPr>
            <w:r>
              <w:rPr>
                <w:sz w:val="20"/>
                <w:szCs w:val="20"/>
              </w:rPr>
              <w:t xml:space="preserve">Dwelling type detail</w:t>
            </w:r>
          </w:p>
        </w:tc>
        <w:tc>
          <w:tcPr>
            <w:tcW w:w="1560" w:type="dxa"/>
          </w:tcPr>
          <w:tcPr/>
          <w:p>
            <w:pPr>
              <w:spacing w:after="0" w:line="240" w:lineRule="auto"/>
              <w:pStyle w:val="Compact"/>
              <w:jc w:val="center"/>
            </w:pPr>
            <w:r>
              <w:rPr>
                <w:sz w:val="20"/>
                <w:szCs w:val="20"/>
              </w:rPr>
              <w:t xml:space="preserve">8 classes</w:t>
            </w:r>
          </w:p>
        </w:tc>
        <w:tc>
          <w:tcPr>
            <w:tcW w:w="1560" w:type="dxa"/>
          </w:tcPr>
          <w:tcPr/>
          <w:p>
            <w:pPr>
              <w:spacing w:after="0" w:line="240" w:lineRule="auto"/>
              <w:pStyle w:val="Compact"/>
              <w:jc w:val="center"/>
            </w:pPr>
            <w:r>
              <w:rPr>
                <w:sz w:val="20"/>
                <w:szCs w:val="20"/>
              </w:rPr>
              <w:t xml:space="preserve">8 classes</w:t>
            </w:r>
          </w:p>
        </w:tc>
        <w:tc>
          <w:tcPr>
            <w:tcW w:w="1560" w:type="dxa"/>
          </w:tcPr>
          <w:tcPr/>
          <w:p>
            <w:pPr>
              <w:spacing w:after="0" w:line="240" w:lineRule="auto"/>
              <w:pStyle w:val="Compact"/>
              <w:jc w:val="center"/>
            </w:pPr>
            <w:r>
              <w:rPr>
                <w:sz w:val="20"/>
                <w:szCs w:val="20"/>
              </w:rPr>
              <w:t xml:space="preserve">3 classes expanded to 8</w:t>
            </w:r>
          </w:p>
        </w:tc>
        <w:tc>
          <w:tcPr>
            <w:tcW w:w="1560" w:type="dxa"/>
          </w:tcPr>
          <w:tcPr/>
          <w:p>
            <w:pPr>
              <w:spacing w:after="0" w:line="240" w:lineRule="auto"/>
              <w:pStyle w:val="Compact"/>
              <w:jc w:val="center"/>
            </w:pPr>
            <w:r>
              <w:rPr>
                <w:sz w:val="20"/>
                <w:szCs w:val="20"/>
              </w:rPr>
              <w:t xml:space="preserve">3 classes</w:t>
            </w:r>
          </w:p>
        </w:tc>
      </w:tr>
    </w:tbl>
    <w:p>
      <w:pPr>
        <w:pStyle w:val="BodyText"/>
      </w:pPr>
      <w:r>
        <w:t xml:space="preserve">Three data limitations are handled explicitly. (i) Census persons whose age is coded 88 (</w:t>
      </w:r>
      <w:r>
        <w:t xml:space="preserve">“not available”</w:t>
      </w:r>
      <w:r>
        <w:t xml:space="preserve">) were removed before matching; this concerns 2.8 % of the sampled 2010 persons and 5.4 % of the sampled 2022 persons and left 39 and 119 households with no member, which were dropped; 2005 and 2015 are unaffected. (ii) In the pooled schedule files, 70,281 households carry more than one dwelling-type label across their records; they were kept. (iii) The three GSS-based pools for 2005, 2010 and 2015 draw on one household population and differ in their diaries, so these cycles differ in behaviour, not in household composition.</w:t>
      </w:r>
    </w:p>
    <w:bookmarkEnd w:id="69"/>
    <w:bookmarkStart w:id="76" w:name="building-simulations"/>
    <w:p>
      <w:pPr>
        <w:pStyle w:val="Heading2"/>
      </w:pPr>
      <w:r>
        <w:t xml:space="preserve">3.6 Building simulations</w:t>
      </w:r>
    </w:p>
    <w:p>
      <w:pPr>
        <w:pStyle w:val="FirstParagraph"/>
      </w:pPr>
      <w:r>
        <w:rPr>
          <w:b/>
          <w:bCs/>
        </w:rPr>
        <w:t xml:space="preserve">Buildings and neighbourhoods.</w:t>
      </w:r>
      <w:r>
        <w:t xml:space="preserve"> </w:t>
      </w:r>
      <w:r>
        <w:t xml:space="preserve">Six neighbourhood units (NUs) in Montreal were simulated with EnergyPlus 24.2 (Table 7) [34, 35]. All buildings in the six NUs share one high-performance envelope: exterior walls of stucco, 200 mm concrete and 330 mm insulation (U ≈ 0.14 W/m²K), roofs with 690 mm insulation over metal decking (U ≈ 0.07 W/m²K), and low-e double glazing. Every zone is served by an ideal-loads air system, so the heating and cooling reported here are the energy delivered to the zones, not the consumption of a specific plant. Envelope and HVAC were the same in every scenario. The weather file is the TMYx file for Montreal McGill (WMO 716120), whose typical months are drawn from 1994 to 2023.</w:t>
      </w:r>
    </w:p>
    <w:p>
      <w:pPr>
        <w:pStyle w:val="BodyText"/>
      </w:pPr>
      <w:r>
        <w:t xml:space="preserve">Table 7. Neighbourhood units.</w:t>
      </w:r>
    </w:p>
    <w:tbl>
      <w:tblPr>
        <w:tblStyle w:val="Table"/>
        <w:tblW w:type="pct" w:w="5000"/>
        <w:tblLayout w:type="fixed"/>
        <w:tblCellMar>
          <w:left w:w="72" w:type="dxa"/>
          <w:right w:w="72" w:type="dxa"/>
        </w:tblCellMar>
        <w:tblLook w:firstRow="1" w:lastRow="0" w:firstColumn="0" w:lastColumn="0" w:noHBand="0" w:noVBand="0" w:val="0020"/>
      </w:tblPr>
      <w:tblGrid>
        <w:gridCol w:w="689"/>
        <w:gridCol w:w="1655"/>
        <w:gridCol w:w="3495"/>
        <w:gridCol w:w="3521"/>
      </w:tblGrid>
      <w:tr>
        <w:trPr>
          <w:tblHeader w:val="on"/>
        </w:trPr>
        <w:tc>
          <w:tcPr>
            <w:tcW w:w="689" w:type="dxa"/>
          </w:tcPr>
          <w:tcPr/>
          <w:p>
            <w:pPr>
              <w:spacing w:after="0" w:line="240" w:lineRule="auto"/>
              <w:pStyle w:val="Compact"/>
              <w:jc w:val="left"/>
            </w:pPr>
            <w:r>
              <w:rPr>
                <w:sz w:val="20"/>
                <w:szCs w:val="20"/>
              </w:rPr>
              <w:t xml:space="preserve">NU</w:t>
            </w:r>
          </w:p>
        </w:tc>
        <w:tc>
          <w:tcPr>
            <w:tcW w:w="1655" w:type="dxa"/>
          </w:tcPr>
          <w:tcPr/>
          <w:p>
            <w:pPr>
              <w:spacing w:after="0" w:line="240" w:lineRule="auto"/>
              <w:pStyle w:val="Compact"/>
              <w:jc w:val="left"/>
            </w:pPr>
            <w:r>
              <w:rPr>
                <w:sz w:val="20"/>
                <w:szCs w:val="20"/>
              </w:rPr>
              <w:t xml:space="preserve">Setting</w:t>
            </w:r>
          </w:p>
        </w:tc>
        <w:tc>
          <w:tcPr>
            <w:tcW w:w="3495" w:type="dxa"/>
          </w:tcPr>
          <w:tcPr/>
          <w:p>
            <w:pPr>
              <w:spacing w:after="0" w:line="240" w:lineRule="auto"/>
              <w:pStyle w:val="Compact"/>
              <w:jc w:val="left"/>
            </w:pPr>
            <w:r>
              <w:rPr>
                <w:sz w:val="20"/>
                <w:szCs w:val="20"/>
              </w:rPr>
              <w:t xml:space="preserve">Buildings</w:t>
            </w:r>
          </w:p>
        </w:tc>
        <w:tc>
          <w:tcPr>
            <w:tcW w:w="3521" w:type="dxa"/>
          </w:tcPr>
          <w:tcPr/>
          <w:p>
            <w:pPr>
              <w:spacing w:after="0" w:line="240" w:lineRule="auto"/>
              <w:pStyle w:val="Compact"/>
              <w:jc w:val="left"/>
            </w:pPr>
            <w:r>
              <w:rPr>
                <w:sz w:val="20"/>
                <w:szCs w:val="20"/>
              </w:rPr>
              <w:t xml:space="preserve">Description</w:t>
            </w:r>
          </w:p>
        </w:tc>
      </w:tr>
      <w:tr>
        <w:tc>
          <w:tcPr>
            <w:tcW w:w="689" w:type="dxa"/>
          </w:tcPr>
          <w:tcPr/>
          <w:p>
            <w:pPr>
              <w:spacing w:after="0" w:line="240" w:lineRule="auto"/>
              <w:pStyle w:val="Compact"/>
              <w:jc w:val="left"/>
            </w:pPr>
            <w:r>
              <w:rPr>
                <w:sz w:val="20"/>
                <w:szCs w:val="20"/>
              </w:rPr>
              <w:t xml:space="preserve">RC-R</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24 detached houses</w:t>
            </w:r>
          </w:p>
        </w:tc>
        <w:tc>
          <w:tcPr>
            <w:tcW w:w="3521" w:type="dxa"/>
          </w:tcPr>
          <w:tcPr/>
          <w:p>
            <w:pPr>
              <w:spacing w:after="0" w:line="240" w:lineRule="auto"/>
              <w:pStyle w:val="Compact"/>
              <w:jc w:val="left"/>
            </w:pPr>
            <w:r>
              <w:rPr>
                <w:sz w:val="20"/>
                <w:szCs w:val="20"/>
              </w:rPr>
              <w:t xml:space="preserve">Low density, car dependent</w:t>
            </w:r>
          </w:p>
        </w:tc>
      </w:tr>
      <w:tr>
        <w:tc>
          <w:tcPr>
            <w:tcW w:w="689" w:type="dxa"/>
          </w:tcPr>
          <w:tcPr/>
          <w:p>
            <w:pPr>
              <w:spacing w:after="0" w:line="240" w:lineRule="auto"/>
              <w:pStyle w:val="Compact"/>
              <w:jc w:val="left"/>
            </w:pPr>
            <w:r>
              <w:rPr>
                <w:sz w:val="20"/>
                <w:szCs w:val="20"/>
              </w:rPr>
              <w:t xml:space="preserve">RC-D</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48 detached houses</w:t>
            </w:r>
          </w:p>
        </w:tc>
        <w:tc>
          <w:tcPr>
            <w:tcW w:w="3521" w:type="dxa"/>
          </w:tcPr>
          <w:tcPr/>
          <w:p>
            <w:pPr>
              <w:spacing w:after="0" w:line="240" w:lineRule="auto"/>
              <w:pStyle w:val="Compact"/>
              <w:jc w:val="left"/>
            </w:pPr>
            <w:r>
              <w:rPr>
                <w:sz w:val="20"/>
                <w:szCs w:val="20"/>
              </w:rPr>
              <w:t xml:space="preserve">Subdivision houses</w:t>
            </w:r>
          </w:p>
        </w:tc>
      </w:tr>
      <w:tr>
        <w:tc>
          <w:tcPr>
            <w:tcW w:w="689" w:type="dxa"/>
          </w:tcPr>
          <w:tcPr/>
          <w:p>
            <w:pPr>
              <w:spacing w:after="0" w:line="240" w:lineRule="auto"/>
              <w:pStyle w:val="Compact"/>
              <w:jc w:val="left"/>
            </w:pPr>
            <w:r>
              <w:rPr>
                <w:sz w:val="20"/>
                <w:szCs w:val="20"/>
              </w:rPr>
              <w:t xml:space="preserve">RC-T</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56 attached (row) houses</w:t>
            </w:r>
          </w:p>
        </w:tc>
        <w:tc>
          <w:tcPr>
            <w:tcW w:w="3521" w:type="dxa"/>
          </w:tcPr>
          <w:tcPr/>
          <w:p>
            <w:pPr>
              <w:spacing w:after="0" w:line="240" w:lineRule="auto"/>
              <w:pStyle w:val="Compact"/>
              <w:jc w:val="left"/>
            </w:pPr>
            <w:r>
              <w:rPr>
                <w:sz w:val="20"/>
                <w:szCs w:val="20"/>
              </w:rPr>
              <w:t xml:space="preserve">Medium-density blocks</w:t>
            </w:r>
          </w:p>
        </w:tc>
      </w:tr>
      <w:tr>
        <w:tc>
          <w:tcPr>
            <w:tcW w:w="689" w:type="dxa"/>
          </w:tcPr>
          <w:tcPr/>
          <w:p>
            <w:pPr>
              <w:spacing w:after="0" w:line="240" w:lineRule="auto"/>
              <w:pStyle w:val="Compact"/>
              <w:jc w:val="left"/>
            </w:pPr>
            <w:r>
              <w:rPr>
                <w:sz w:val="20"/>
                <w:szCs w:val="20"/>
              </w:rPr>
              <w:t xml:space="preserve">RC-MR2</w:t>
            </w:r>
          </w:p>
        </w:tc>
        <w:tc>
          <w:tcPr>
            <w:tcW w:w="1655" w:type="dxa"/>
          </w:tcPr>
          <w:tcPr/>
          <w:p>
            <w:pPr>
              <w:spacing w:after="0" w:line="240" w:lineRule="auto"/>
              <w:pStyle w:val="Compact"/>
              <w:jc w:val="left"/>
            </w:pPr>
            <w:r>
              <w:rPr>
                <w:sz w:val="20"/>
                <w:szCs w:val="20"/>
              </w:rPr>
              <w:t xml:space="preserve">Inner suburb</w:t>
            </w:r>
          </w:p>
        </w:tc>
        <w:tc>
          <w:tcPr>
            <w:tcW w:w="3495" w:type="dxa"/>
          </w:tcPr>
          <w:tcPr/>
          <w:p>
            <w:pPr>
              <w:spacing w:after="0" w:line="240" w:lineRule="auto"/>
              <w:pStyle w:val="Compact"/>
              <w:jc w:val="left"/>
            </w:pPr>
            <w:r>
              <w:rPr>
                <w:sz w:val="20"/>
                <w:szCs w:val="20"/>
              </w:rPr>
              <w:t xml:space="preserve">8 mid-rise apartment buildings</w:t>
            </w:r>
          </w:p>
        </w:tc>
        <w:tc>
          <w:tcPr>
            <w:tcW w:w="3521" w:type="dxa"/>
          </w:tcPr>
          <w:tcPr/>
          <w:p>
            <w:pPr>
              <w:spacing w:after="0" w:line="240" w:lineRule="auto"/>
              <w:pStyle w:val="Compact"/>
              <w:jc w:val="left"/>
            </w:pPr>
            <w:r>
              <w:rPr>
                <w:sz w:val="20"/>
                <w:szCs w:val="20"/>
              </w:rPr>
              <w:t xml:space="preserve">Clusters around shared courtyards</w:t>
            </w:r>
          </w:p>
        </w:tc>
      </w:tr>
      <w:tr>
        <w:tc>
          <w:tcPr>
            <w:tcW w:w="689" w:type="dxa"/>
          </w:tcPr>
          <w:tcPr/>
          <w:p>
            <w:pPr>
              <w:spacing w:after="0" w:line="240" w:lineRule="auto"/>
              <w:pStyle w:val="Compact"/>
              <w:jc w:val="left"/>
            </w:pPr>
            <w:r>
              <w:rPr>
                <w:sz w:val="20"/>
                <w:szCs w:val="20"/>
              </w:rPr>
              <w:t xml:space="preserve">RC-MR3</w:t>
            </w:r>
          </w:p>
        </w:tc>
        <w:tc>
          <w:tcPr>
            <w:tcW w:w="1655" w:type="dxa"/>
          </w:tcPr>
          <w:tcPr/>
          <w:p>
            <w:pPr>
              <w:spacing w:after="0" w:line="240" w:lineRule="auto"/>
              <w:pStyle w:val="Compact"/>
              <w:jc w:val="left"/>
            </w:pPr>
            <w:r>
              <w:rPr>
                <w:sz w:val="20"/>
                <w:szCs w:val="20"/>
              </w:rPr>
              <w:t xml:space="preserve">Urban mid-zone</w:t>
            </w:r>
          </w:p>
        </w:tc>
        <w:tc>
          <w:tcPr>
            <w:tcW w:w="3495" w:type="dxa"/>
          </w:tcPr>
          <w:tcPr/>
          <w:p>
            <w:pPr>
              <w:spacing w:after="0" w:line="240" w:lineRule="auto"/>
              <w:pStyle w:val="Compact"/>
              <w:jc w:val="left"/>
            </w:pPr>
            <w:r>
              <w:rPr>
                <w:sz w:val="20"/>
                <w:szCs w:val="20"/>
              </w:rPr>
              <w:t xml:space="preserve">12 mid-rise apartment buildings</w:t>
            </w:r>
          </w:p>
        </w:tc>
        <w:tc>
          <w:tcPr>
            <w:tcW w:w="3521" w:type="dxa"/>
          </w:tcPr>
          <w:tcPr/>
          <w:p>
            <w:pPr>
              <w:spacing w:after="0" w:line="240" w:lineRule="auto"/>
              <w:pStyle w:val="Compact"/>
              <w:jc w:val="left"/>
            </w:pPr>
            <w:r>
              <w:rPr>
                <w:sz w:val="20"/>
                <w:szCs w:val="20"/>
              </w:rPr>
              <w:t xml:space="preserve">Dense, transit-oriented blocks</w:t>
            </w:r>
          </w:p>
        </w:tc>
      </w:tr>
      <w:tr>
        <w:tc>
          <w:tcPr>
            <w:tcW w:w="689" w:type="dxa"/>
          </w:tcPr>
          <w:tcPr/>
          <w:p>
            <w:pPr>
              <w:spacing w:after="0" w:line="240" w:lineRule="auto"/>
              <w:pStyle w:val="Compact"/>
              <w:jc w:val="left"/>
            </w:pPr>
            <w:r>
              <w:rPr>
                <w:sz w:val="20"/>
                <w:szCs w:val="20"/>
              </w:rPr>
              <w:t xml:space="preserve">RC-HR2</w:t>
            </w:r>
          </w:p>
        </w:tc>
        <w:tc>
          <w:tcPr>
            <w:tcW w:w="1655" w:type="dxa"/>
          </w:tcPr>
          <w:tcPr/>
          <w:p>
            <w:pPr>
              <w:spacing w:after="0" w:line="240" w:lineRule="auto"/>
              <w:pStyle w:val="Compact"/>
              <w:jc w:val="left"/>
            </w:pPr>
            <w:r>
              <w:rPr>
                <w:sz w:val="20"/>
                <w:szCs w:val="20"/>
              </w:rPr>
              <w:t xml:space="preserve">Urban core</w:t>
            </w:r>
          </w:p>
        </w:tc>
        <w:tc>
          <w:tcPr>
            <w:tcW w:w="3495" w:type="dxa"/>
          </w:tcPr>
          <w:tcPr/>
          <w:p>
            <w:pPr>
              <w:spacing w:after="0" w:line="240" w:lineRule="auto"/>
              <w:pStyle w:val="Compact"/>
              <w:jc w:val="left"/>
            </w:pPr>
            <w:r>
              <w:rPr>
                <w:sz w:val="20"/>
                <w:szCs w:val="20"/>
              </w:rPr>
              <w:t xml:space="preserve">4 high-rise apartment buildings</w:t>
            </w:r>
          </w:p>
        </w:tc>
        <w:tc>
          <w:tcPr>
            <w:tcW w:w="3521" w:type="dxa"/>
          </w:tcPr>
          <w:tcPr/>
          <w:p>
            <w:pPr>
              <w:spacing w:after="0" w:line="240" w:lineRule="auto"/>
              <w:pStyle w:val="Compact"/>
              <w:jc w:val="left"/>
            </w:pPr>
            <w:r>
              <w:rPr>
                <w:sz w:val="20"/>
                <w:szCs w:val="20"/>
              </w:rPr>
              <w:t xml:space="preserve">Towers near transit nodes</w:t>
            </w:r>
          </w:p>
        </w:tc>
      </w:tr>
    </w:tbl>
    <w:p>
      <w:pPr>
        <w:pStyle w:val="BodyText"/>
      </w:pPr>
      <w:r>
        <w:rPr>
          <w:b/>
          <w:bCs/>
        </w:rPr>
        <w:t xml:space="preserve">Default scenario.</w:t>
      </w:r>
      <w:r>
        <w:t xml:space="preserve"> </w:t>
      </w:r>
      <w:r>
        <w:t xml:space="preserve">The reference (</w:t>
      </w:r>
      <w:r>
        <w:t xml:space="preserve">“Default”</w:t>
      </w:r>
      <w:r>
        <w:t xml:space="preserve">) scenario uses the schedules of the U.S. Department of Energy MidriseApartment prototype building [36] for occupancy, lighting, equipment, domestic hot water (DHW) and activity level, extracted with the OpenStudio Standards Gem [37], in all six NUs. One schedule set is used for every building type so that every scenario is compared with the same reference; for the three house NUs this reference is an apartment schedule, not the IECC house schedule, and the house results should be read as differences from that common reference.</w:t>
      </w:r>
    </w:p>
    <w:p>
      <w:pPr>
        <w:pStyle w:val="BodyText"/>
      </w:pPr>
      <w:r>
        <w:rPr>
          <w:b/>
          <w:bCs/>
        </w:rPr>
        <w:t xml:space="preserve">Schedule integration.</w:t>
      </w:r>
      <w:r>
        <w:t xml:space="preserve"> </w:t>
      </w:r>
      <w:r>
        <w:t xml:space="preserve">Each building receives the hourly occupancy fraction O_t of one household. Occupant counts follow the household size. Equipment and DHW schedules are derived from the Default schedule by a presence filter:</w:t>
      </w:r>
    </w:p>
    <w:p>
      <w:pPr>
        <w:pStyle w:val="BodyText"/>
      </w:pPr>
      <m:oMathPara>
        <m:oMathParaPr>
          <m:jc m:val="center"/>
        </m:oMathParaPr>
        <m:oMath>
          <m:sSub>
            <m:e>
              <m:r>
                <m:t>S</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O</m:t>
                        </m:r>
                      </m:e>
                      <m:sub>
                        <m:r>
                          <m:t>t</m:t>
                        </m:r>
                      </m:sub>
                    </m:sSub>
                    <m:r>
                      <m:t> </m:t>
                    </m:r>
                    <m:sSubSup>
                      <m:e>
                        <m:r>
                          <m:t>S</m:t>
                        </m:r>
                      </m:e>
                      <m:sub>
                        <m:r>
                          <m:t>t</m:t>
                        </m:r>
                      </m:sub>
                      <m:sup>
                        <m:r>
                          <m:rPr>
                            <m:sty m:val="p"/>
                          </m:rPr>
                          <m:t>d</m:t>
                        </m:r>
                        <m:r>
                          <m:rPr>
                            <m:sty m:val="p"/>
                          </m:rPr>
                          <m:t>e</m:t>
                        </m:r>
                        <m:r>
                          <m:rPr>
                            <m:sty m:val="p"/>
                          </m:rPr>
                          <m:t>f</m:t>
                        </m:r>
                      </m:sup>
                    </m:sSubSup>
                    <m:r>
                      <m:rPr>
                        <m:sty m:val="p"/>
                      </m:rPr>
                      <m:t>+</m:t>
                    </m:r>
                    <m:r>
                      <m:rPr>
                        <m:sty m:val="p"/>
                      </m:rPr>
                      <m:t>(</m:t>
                    </m:r>
                    <m:r>
                      <m:t>1</m:t>
                    </m:r>
                    <m:r>
                      <m:rPr>
                        <m:sty m:val="p"/>
                      </m:rPr>
                      <m:t>−</m:t>
                    </m:r>
                    <m:sSub>
                      <m:e>
                        <m:r>
                          <m:t>O</m:t>
                        </m:r>
                      </m:e>
                      <m:sub>
                        <m:r>
                          <m:t>t</m:t>
                        </m:r>
                      </m:sub>
                    </m:sSub>
                    <m:r>
                      <m:rPr>
                        <m:sty m:val="p"/>
                      </m:rPr>
                      <m:t>)</m:t>
                    </m:r>
                    <m:r>
                      <m:t> </m:t>
                    </m:r>
                    <m:sSup>
                      <m:e>
                        <m:r>
                          <m:t>S</m:t>
                        </m:r>
                      </m:e>
                      <m:sup>
                        <m:r>
                          <m:rPr>
                            <m:sty m:val="p"/>
                          </m:rPr>
                          <m:t>b</m:t>
                        </m:r>
                        <m:r>
                          <m:rPr>
                            <m:sty m:val="p"/>
                          </m:rPr>
                          <m:t>a</m:t>
                        </m:r>
                        <m:r>
                          <m:rPr>
                            <m:sty m:val="p"/>
                          </m:rPr>
                          <m:t>s</m:t>
                        </m:r>
                        <m:r>
                          <m:rPr>
                            <m:sty m:val="p"/>
                          </m:rPr>
                          <m:t>e</m:t>
                        </m:r>
                      </m:sup>
                    </m:sSup>
                    <m:r>
                      <m:rPr>
                        <m:sty m:val="p"/>
                      </m:rPr>
                      <m:t>,</m:t>
                    </m:r>
                  </m:e>
                  <m:e>
                    <m:sSub>
                      <m:e>
                        <m:r>
                          <m:t>O</m:t>
                        </m:r>
                      </m:e>
                      <m:sub>
                        <m:r>
                          <m:t>t</m:t>
                        </m:r>
                      </m:sub>
                    </m:sSub>
                    <m:r>
                      <m:rPr>
                        <m:sty m:val="p"/>
                      </m:rPr>
                      <m:t>&gt;</m:t>
                    </m:r>
                    <m:r>
                      <m:t>ε</m:t>
                    </m:r>
                  </m:e>
                </m:mr>
                <m:mr>
                  <m:e>
                    <m:sSup>
                      <m:e>
                        <m:r>
                          <m:t>S</m:t>
                        </m:r>
                      </m:e>
                      <m:sup>
                        <m:r>
                          <m:rPr>
                            <m:sty m:val="p"/>
                          </m:rPr>
                          <m:t>b</m:t>
                        </m:r>
                        <m:r>
                          <m:rPr>
                            <m:sty m:val="p"/>
                          </m:rPr>
                          <m:t>a</m:t>
                        </m:r>
                        <m:r>
                          <m:rPr>
                            <m:sty m:val="p"/>
                          </m:rPr>
                          <m:t>s</m:t>
                        </m:r>
                        <m:r>
                          <m:rPr>
                            <m:sty m:val="p"/>
                          </m:rPr>
                          <m:t>e</m:t>
                        </m:r>
                      </m:sup>
                    </m:sSup>
                    <m:r>
                      <m:rPr>
                        <m:sty m:val="p"/>
                      </m:rPr>
                      <m:t>,</m:t>
                    </m:r>
                  </m:e>
                  <m:e>
                    <m:sSub>
                      <m:e>
                        <m:r>
                          <m:t>O</m:t>
                        </m:r>
                      </m:e>
                      <m:sub>
                        <m:r>
                          <m:t>t</m:t>
                        </m:r>
                      </m:sub>
                    </m:sSub>
                    <m:r>
                      <m:rPr>
                        <m:sty m:val="p"/>
                      </m:rPr>
                      <m:t>≤</m:t>
                    </m:r>
                    <m:r>
                      <m:t>ε</m:t>
                    </m:r>
                  </m:e>
                </m:mr>
              </m:m>
            </m:e>
          </m:d>
        </m:oMath>
      </m:oMathPara>
    </w:p>
    <w:p>
      <w:pPr>
        <w:pStyle w:val="FirstParagraph"/>
      </w:pPr>
      <w:r>
        <w:t xml:space="preserve">where S_t^def is the Default schedule value at hour t, S^base is the lowest Default value during the hours when the household is away (or during 09:00–17:00 if it is never away), and ε = 10⁻³. For DHW the first branch is used at every hour, so that one member at home produces a proportional share of the demand. Lighting follows occupancy with a monthly daylight adjustment (Figures 5 and 6).</w:t>
      </w:r>
    </w:p>
    <w:p>
      <w:pPr>
        <w:pStyle w:val="BodyText"/>
        <w:keepNext/>
        <w:jc w:val="center"/>
      </w:pPr>
      <w:r>
        <w:drawing>
          <wp:inline>
            <wp:extent cx="5334000" cy="734466"/>
            <wp:effectExtent b="0" l="0" r="0" t="0"/>
            <wp:docPr descr="" title="" id="71" name="Picture"/>
            <a:graphic>
              <a:graphicData uri="http://schemas.openxmlformats.org/drawingml/2006/picture">
                <pic:pic>
                  <pic:nvPicPr>
                    <pic:cNvPr descr="../figures/docx_media/word/media/image9.png" id="72" name="Picture"/>
                    <pic:cNvPicPr>
                      <a:picLocks noChangeArrowheads="1" noChangeAspect="1"/>
                    </pic:cNvPicPr>
                  </pic:nvPicPr>
                  <pic:blipFill>
                    <a:blip r:embed="rId70"/>
                    <a:stretch>
                      <a:fillRect/>
                    </a:stretch>
                  </pic:blipFill>
                  <pic:spPr bwMode="auto">
                    <a:xfrm>
                      <a:off x="0" y="0"/>
                      <a:ext cx="5334000" cy="734466"/>
                    </a:xfrm>
                    <a:prstGeom prst="rect">
                      <a:avLst/>
                    </a:prstGeom>
                    <a:noFill/>
                    <a:ln w="9525">
                      <a:noFill/>
                      <a:headEnd/>
                      <a:tailEnd/>
                    </a:ln>
                  </pic:spPr>
                </pic:pic>
              </a:graphicData>
            </a:graphic>
          </wp:inline>
        </w:drawing>
      </w:r>
    </w:p>
    <w:p>
      <w:pPr>
        <w:pStyle w:val="BodyText"/>
      </w:pPr>
      <w:r>
        <w:t xml:space="preserve">Figure 5. Schedule integration: Default scenario and occupancy-integrated scenarios.</w:t>
      </w:r>
    </w:p>
    <w:p>
      <w:pPr>
        <w:pStyle w:val="BodyText"/>
        <w:keepNext/>
        <w:jc w:val="center"/>
      </w:pPr>
      <w:r>
        <w:drawing>
          <wp:inline>
            <wp:extent cx="5334000" cy="2083593"/>
            <wp:effectExtent b="0" l="0" r="0" t="0"/>
            <wp:docPr descr="" title="" id="74" name="Picture"/>
            <a:graphic>
              <a:graphicData uri="http://schemas.openxmlformats.org/drawingml/2006/picture">
                <pic:pic>
                  <pic:nvPicPr>
                    <pic:cNvPr descr="../figures/docx_media/word/media/image10.png" id="75" name="Picture"/>
                    <pic:cNvPicPr>
                      <a:picLocks noChangeArrowheads="1" noChangeAspect="1"/>
                    </pic:cNvPicPr>
                  </pic:nvPicPr>
                  <pic:blipFill>
                    <a:blip r:embed="rId73"/>
                    <a:stretch>
                      <a:fillRect/>
                    </a:stretch>
                  </pic:blipFill>
                  <pic:spPr bwMode="auto">
                    <a:xfrm>
                      <a:off x="0" y="0"/>
                      <a:ext cx="5334000" cy="2083593"/>
                    </a:xfrm>
                    <a:prstGeom prst="rect">
                      <a:avLst/>
                    </a:prstGeom>
                    <a:noFill/>
                    <a:ln w="9525">
                      <a:noFill/>
                      <a:headEnd/>
                      <a:tailEnd/>
                    </a:ln>
                  </pic:spPr>
                </pic:pic>
              </a:graphicData>
            </a:graphic>
          </wp:inline>
        </w:drawing>
      </w:r>
    </w:p>
    <w:p>
      <w:pPr>
        <w:pStyle w:val="BodyText"/>
      </w:pPr>
      <w:r>
        <w:t xml:space="preserve">Figure 6. Presence filter applied to a household load profile.</w:t>
      </w:r>
    </w:p>
    <w:p>
      <w:pPr>
        <w:pStyle w:val="BodyText"/>
      </w:pPr>
      <w:r>
        <w:rPr>
          <w:b/>
          <w:bCs/>
        </w:rPr>
        <w:t xml:space="preserve">Draws and stopping rule.</w:t>
      </w:r>
      <w:r>
        <w:t xml:space="preserve"> </w:t>
      </w:r>
      <w:r>
        <w:t xml:space="preserve">In each draw, every building receives one household from the schedule file of the scenario year, drawn at random with a fixed seed from the households of the same dwelling type; the household size of each building is drawn once per draw with probabilities proportional to the pool, and every year then draws a household of that type and size. Each NU and year was simulated in blocks of five draws. The reported quantity is the mean annual heating and cooling energy per unit floor area over the draws, with its 95 % confidence interval. The stopping rule, fixed before any result was read, was to stop when the half-width of every interval was at most 1 % of its mean, or at 30 draws. The Default scenario is deterministic and was run once per NU. A year-to-year difference is called a difference only when its own 95 % interval (Welch) excludes zero; because the years share the household size drawn for each building, this test is conservative.</w:t>
      </w:r>
    </w:p>
    <w:bookmarkEnd w:id="76"/>
    <w:bookmarkEnd w:id="77"/>
    <w:bookmarkStart w:id="97" w:name="results"/>
    <w:p>
      <w:pPr>
        <w:pStyle w:val="Heading1"/>
      </w:pPr>
      <w:r>
        <w:t xml:space="preserve">4 Results</w:t>
      </w:r>
    </w:p>
    <w:bookmarkStart w:id="91" w:name="occupancy-patterns-20052025"/>
    <w:p>
      <w:pPr>
        <w:pStyle w:val="Heading2"/>
      </w:pPr>
      <w:r>
        <w:t xml:space="preserve">4.1 Occupancy patterns, 2005–2025</w:t>
      </w:r>
    </w:p>
    <w:p>
      <w:pPr>
        <w:pStyle w:val="FirstParagraph"/>
      </w:pPr>
      <w:r>
        <w:t xml:space="preserve">All numbers in this section are computed from the household schedule files used in the simulations (Table 2), with the definitions of Table 3. They replace the numbers of the submitted version, which came from earlier files in which weekday and weekend were swapped for 2005 and 2015 and the occupancy fraction was defined differently.</w:t>
      </w:r>
    </w:p>
    <w:bookmarkStart w:id="81" w:name="presence"/>
    <w:p>
      <w:pPr>
        <w:pStyle w:val="Heading3"/>
      </w:pPr>
      <w:r>
        <w:t xml:space="preserve">4.1.1 Presence</w:t>
      </w:r>
    </w:p>
    <w:p>
      <w:pPr>
        <w:pStyle w:val="FirstParagraph"/>
      </w:pPr>
      <w:r>
        <w:t xml:space="preserve">Figure 7 and Table 8 show the hourly presence profiles and their summary metrics. On weekdays, households are at home 15.6 to 16.2 h per day in 2005, 2010 and 2015 and 17.9 h in 2022; on weekends, 17.4 to 17.6 h before 2022 and 18.6 h in 2022. The weekday daytime occupancy fraction (09:00–17:00) is 0.36 to 0.40 in the three pre-pandemic cycles and 0.52 in 2022. Presence was thus nearly flat from 2005 to 2015 and rose after the COVID-19 pandemic, mainly during working hours on weekdays, which narrowed the weekday–weekend gap from 1.4 to 1.8 h before 2022 to 0.6 h in 2022. The 2010 cycle is slightly lower than 2005 and 2015 on weekdays (by about 0.5 h); the cause of this difference was not identified. The 2025 cohort, whose persons are matched to 2022 diaries, has 16.5 h on weekdays and a daytime fraction of 0.40, close to the pre-pandemic cycles. Because the diaries are the same as in 2022, this difference comes from the projected population and from how its persons were matched (Section 3.4), not from a change in behaviour.</w:t>
      </w:r>
    </w:p>
    <w:p>
      <w:pPr>
        <w:pStyle w:val="BodyText"/>
        <w:keepNext/>
        <w:jc w:val="center"/>
      </w:pPr>
      <w:r>
        <w:drawing>
          <wp:inline>
            <wp:extent cx="5334000" cy="2900218"/>
            <wp:effectExtent b="0" l="0" r="0" t="0"/>
            <wp:docPr descr="" title="" id="79" name="Picture"/>
            <a:graphic>
              <a:graphicData uri="http://schemas.openxmlformats.org/drawingml/2006/picture">
                <pic:pic>
                  <pic:nvPicPr>
                    <pic:cNvPr descr="../figures/Fig7_presence_R1.png" id="80" name="Picture"/>
                    <pic:cNvPicPr>
                      <a:picLocks noChangeArrowheads="1" noChangeAspect="1"/>
                    </pic:cNvPicPr>
                  </pic:nvPicPr>
                  <pic:blipFill>
                    <a:blip r:embed="rId78"/>
                    <a:stretch>
                      <a:fillRect/>
                    </a:stretch>
                  </pic:blipFill>
                  <pic:spPr bwMode="auto">
                    <a:xfrm>
                      <a:off x="0" y="0"/>
                      <a:ext cx="5334000" cy="2900218"/>
                    </a:xfrm>
                    <a:prstGeom prst="rect">
                      <a:avLst/>
                    </a:prstGeom>
                    <a:noFill/>
                    <a:ln w="9525">
                      <a:noFill/>
                      <a:headEnd/>
                      <a:tailEnd/>
                    </a:ln>
                  </pic:spPr>
                </pic:pic>
              </a:graphicData>
            </a:graphic>
          </wp:inline>
        </w:drawing>
      </w:r>
    </w:p>
    <w:p>
      <w:pPr>
        <w:pStyle w:val="BodyText"/>
      </w:pPr>
      <w:r>
        <w:t xml:space="preserve">Figure 7. Hourly presence profiles (top; mean with ±1 standard deviation across households), occupied hours and daytime occupancy fraction (middle), and summary metrics against the Default (bottom), for each cycle.</w:t>
      </w:r>
    </w:p>
    <w:p>
      <w:pPr>
        <w:pStyle w:val="BodyText"/>
      </w:pPr>
      <w:r>
        <w:t xml:space="preserve">Table 8. Occupancy metrics per cycle (Canada) and for the Default schedule. Occupied hours are the sum of the 24 hourly mean occupancy fractions.</w:t>
      </w:r>
    </w:p>
    <w:tbl>
      <w:tblPr>
        <w:tblStyle w:val="Table"/>
        <w:tblW w:type="pct" w:w="5000"/>
        <w:tblLayout w:type="fixed"/>
        <w:tblCellMar>
          <w:left w:w="72" w:type="dxa"/>
          <w:right w:w="72" w:type="dxa"/>
        </w:tblCellMar>
        <w:tblLook w:firstRow="1" w:lastRow="0" w:firstColumn="0" w:lastColumn="0" w:noHBand="0" w:noVBand="0" w:val="0020"/>
      </w:tblPr>
      <w:tblGrid>
        <w:gridCol w:w="4304"/>
        <w:gridCol w:w="956"/>
        <w:gridCol w:w="819"/>
        <w:gridCol w:w="819"/>
        <w:gridCol w:w="819"/>
        <w:gridCol w:w="819"/>
        <w:gridCol w:w="824"/>
      </w:tblGrid>
      <w:tr>
        <w:trPr>
          <w:tblHeader w:val="on"/>
        </w:trPr>
        <w:tc>
          <w:tcPr>
            <w:tcW w:w="4304" w:type="dxa"/>
          </w:tcPr>
          <w:tcPr/>
          <w:p>
            <w:pPr>
              <w:spacing w:after="0" w:line="240" w:lineRule="auto"/>
              <w:pStyle w:val="Compact"/>
            </w:pPr>
          </w:p>
        </w:tc>
        <w:tc>
          <w:tcPr>
            <w:tcW w:w="956" w:type="dxa"/>
          </w:tcPr>
          <w:tcPr/>
          <w:p>
            <w:pPr>
              <w:spacing w:after="0" w:line="240" w:lineRule="auto"/>
              <w:pStyle w:val="Compact"/>
              <w:jc w:val="right"/>
            </w:pPr>
            <w:r>
              <w:rPr>
                <w:sz w:val="20"/>
                <w:szCs w:val="20"/>
              </w:rPr>
              <w:t xml:space="preserve">Default</w:t>
            </w:r>
          </w:p>
        </w:tc>
        <w:tc>
          <w:tcPr>
            <w:tcW w:w="819" w:type="dxa"/>
          </w:tcPr>
          <w:tcPr/>
          <w:p>
            <w:pPr>
              <w:spacing w:after="0" w:line="240" w:lineRule="auto"/>
              <w:pStyle w:val="Compact"/>
              <w:jc w:val="right"/>
            </w:pPr>
            <w:r>
              <w:rPr>
                <w:sz w:val="20"/>
                <w:szCs w:val="20"/>
              </w:rPr>
              <w:t xml:space="preserve">2005</w:t>
            </w:r>
          </w:p>
        </w:tc>
        <w:tc>
          <w:tcPr>
            <w:tcW w:w="819" w:type="dxa"/>
          </w:tcPr>
          <w:tcPr/>
          <w:p>
            <w:pPr>
              <w:spacing w:after="0" w:line="240" w:lineRule="auto"/>
              <w:pStyle w:val="Compact"/>
              <w:jc w:val="right"/>
            </w:pPr>
            <w:r>
              <w:rPr>
                <w:sz w:val="20"/>
                <w:szCs w:val="20"/>
              </w:rPr>
              <w:t xml:space="preserve">2010</w:t>
            </w:r>
          </w:p>
        </w:tc>
        <w:tc>
          <w:tcPr>
            <w:tcW w:w="819" w:type="dxa"/>
          </w:tcPr>
          <w:tcPr/>
          <w:p>
            <w:pPr>
              <w:spacing w:after="0" w:line="240" w:lineRule="auto"/>
              <w:pStyle w:val="Compact"/>
              <w:jc w:val="right"/>
            </w:pPr>
            <w:r>
              <w:rPr>
                <w:sz w:val="20"/>
                <w:szCs w:val="20"/>
              </w:rPr>
              <w:t xml:space="preserve">2015</w:t>
            </w:r>
          </w:p>
        </w:tc>
        <w:tc>
          <w:tcPr>
            <w:tcW w:w="819" w:type="dxa"/>
          </w:tcPr>
          <w:tcPr/>
          <w:p>
            <w:pPr>
              <w:spacing w:after="0" w:line="240" w:lineRule="auto"/>
              <w:pStyle w:val="Compact"/>
              <w:jc w:val="right"/>
            </w:pPr>
            <w:r>
              <w:rPr>
                <w:sz w:val="20"/>
                <w:szCs w:val="20"/>
              </w:rPr>
              <w:t xml:space="preserve">2022</w:t>
            </w:r>
          </w:p>
        </w:tc>
        <w:tc>
          <w:tcPr>
            <w:tcW w:w="824" w:type="dxa"/>
          </w:tcPr>
          <w:tcPr/>
          <w:p>
            <w:pPr>
              <w:spacing w:after="0" w:line="240" w:lineRule="auto"/>
              <w:pStyle w:val="Compact"/>
              <w:jc w:val="right"/>
            </w:pPr>
            <w:r>
              <w:rPr>
                <w:sz w:val="20"/>
                <w:szCs w:val="20"/>
              </w:rPr>
              <w:t xml:space="preserve">2025</w:t>
            </w:r>
          </w:p>
        </w:tc>
      </w:tr>
      <w:tr>
        <w:tc>
          <w:tcPr>
            <w:tcW w:w="4304" w:type="dxa"/>
          </w:tcPr>
          <w:tcPr/>
          <w:p>
            <w:pPr>
              <w:spacing w:after="0" w:line="240" w:lineRule="auto"/>
              <w:pStyle w:val="Compact"/>
              <w:jc w:val="left"/>
            </w:pPr>
            <w:r>
              <w:rPr>
                <w:sz w:val="20"/>
                <w:szCs w:val="20"/>
              </w:rPr>
              <w:t xml:space="preserve">Occupied hours, weekday (h)</w:t>
            </w:r>
          </w:p>
        </w:tc>
        <w:tc>
          <w:tcPr>
            <w:tcW w:w="956" w:type="dxa"/>
          </w:tcPr>
          <w:tcPr/>
          <w:p>
            <w:pPr>
              <w:spacing w:after="0" w:line="240" w:lineRule="auto"/>
              <w:pStyle w:val="Compact"/>
              <w:jc w:val="right"/>
            </w:pPr>
            <w:r>
              <w:rPr>
                <w:sz w:val="20"/>
                <w:szCs w:val="20"/>
              </w:rPr>
              <w:t xml:space="preserve">16.4</w:t>
            </w:r>
          </w:p>
        </w:tc>
        <w:tc>
          <w:tcPr>
            <w:tcW w:w="819" w:type="dxa"/>
          </w:tcPr>
          <w:tcPr/>
          <w:p>
            <w:pPr>
              <w:spacing w:after="0" w:line="240" w:lineRule="auto"/>
              <w:pStyle w:val="Compact"/>
              <w:jc w:val="right"/>
            </w:pPr>
            <w:r>
              <w:rPr>
                <w:sz w:val="20"/>
                <w:szCs w:val="20"/>
              </w:rPr>
              <w:t xml:space="preserve">16.1</w:t>
            </w:r>
          </w:p>
        </w:tc>
        <w:tc>
          <w:tcPr>
            <w:tcW w:w="819" w:type="dxa"/>
          </w:tcPr>
          <w:tcPr/>
          <w:p>
            <w:pPr>
              <w:spacing w:after="0" w:line="240" w:lineRule="auto"/>
              <w:pStyle w:val="Compact"/>
              <w:jc w:val="right"/>
            </w:pPr>
            <w:r>
              <w:rPr>
                <w:sz w:val="20"/>
                <w:szCs w:val="20"/>
              </w:rPr>
              <w:t xml:space="preserve">15.6</w:t>
            </w:r>
          </w:p>
        </w:tc>
        <w:tc>
          <w:tcPr>
            <w:tcW w:w="819" w:type="dxa"/>
          </w:tcPr>
          <w:tcPr/>
          <w:p>
            <w:pPr>
              <w:spacing w:after="0" w:line="240" w:lineRule="auto"/>
              <w:pStyle w:val="Compact"/>
              <w:jc w:val="right"/>
            </w:pPr>
            <w:r>
              <w:rPr>
                <w:sz w:val="20"/>
                <w:szCs w:val="20"/>
              </w:rPr>
              <w:t xml:space="preserve">16.2</w:t>
            </w:r>
          </w:p>
        </w:tc>
        <w:tc>
          <w:tcPr>
            <w:tcW w:w="819" w:type="dxa"/>
          </w:tcPr>
          <w:tcPr/>
          <w:p>
            <w:pPr>
              <w:spacing w:after="0" w:line="240" w:lineRule="auto"/>
              <w:pStyle w:val="Compact"/>
              <w:jc w:val="right"/>
            </w:pPr>
            <w:r>
              <w:rPr>
                <w:sz w:val="20"/>
                <w:szCs w:val="20"/>
              </w:rPr>
              <w:t xml:space="preserve">17.9</w:t>
            </w:r>
          </w:p>
        </w:tc>
        <w:tc>
          <w:tcPr>
            <w:tcW w:w="824" w:type="dxa"/>
          </w:tcPr>
          <w:tcPr/>
          <w:p>
            <w:pPr>
              <w:spacing w:after="0" w:line="240" w:lineRule="auto"/>
              <w:pStyle w:val="Compact"/>
              <w:jc w:val="right"/>
            </w:pPr>
            <w:r>
              <w:rPr>
                <w:sz w:val="20"/>
                <w:szCs w:val="20"/>
              </w:rPr>
              <w:t xml:space="preserve">16.5</w:t>
            </w:r>
          </w:p>
        </w:tc>
      </w:tr>
      <w:tr>
        <w:tc>
          <w:tcPr>
            <w:tcW w:w="4304" w:type="dxa"/>
          </w:tcPr>
          <w:tcPr/>
          <w:p>
            <w:pPr>
              <w:spacing w:after="0" w:line="240" w:lineRule="auto"/>
              <w:pStyle w:val="Compact"/>
              <w:jc w:val="left"/>
            </w:pPr>
            <w:r>
              <w:rPr>
                <w:sz w:val="20"/>
                <w:szCs w:val="20"/>
              </w:rPr>
              <w:t xml:space="preserve">Occupied hours, weekend (h)</w:t>
            </w:r>
          </w:p>
        </w:tc>
        <w:tc>
          <w:tcPr>
            <w:tcW w:w="956" w:type="dxa"/>
          </w:tcPr>
          <w:tcPr/>
          <w:p>
            <w:pPr>
              <w:spacing w:after="0" w:line="240" w:lineRule="auto"/>
              <w:pStyle w:val="Compact"/>
              <w:jc w:val="right"/>
            </w:pPr>
            <w:r>
              <w:rPr>
                <w:sz w:val="20"/>
                <w:szCs w:val="20"/>
              </w:rPr>
              <w:t xml:space="preserve">16.4</w:t>
            </w:r>
          </w:p>
        </w:tc>
        <w:tc>
          <w:tcPr>
            <w:tcW w:w="819" w:type="dxa"/>
          </w:tcPr>
          <w:tcPr/>
          <w:p>
            <w:pPr>
              <w:spacing w:after="0" w:line="240" w:lineRule="auto"/>
              <w:pStyle w:val="Compact"/>
              <w:jc w:val="right"/>
            </w:pPr>
            <w:r>
              <w:rPr>
                <w:sz w:val="20"/>
                <w:szCs w:val="20"/>
              </w:rPr>
              <w:t xml:space="preserve">17.5</w:t>
            </w:r>
          </w:p>
        </w:tc>
        <w:tc>
          <w:tcPr>
            <w:tcW w:w="819" w:type="dxa"/>
          </w:tcPr>
          <w:tcPr/>
          <w:p>
            <w:pPr>
              <w:spacing w:after="0" w:line="240" w:lineRule="auto"/>
              <w:pStyle w:val="Compact"/>
              <w:jc w:val="right"/>
            </w:pPr>
            <w:r>
              <w:rPr>
                <w:sz w:val="20"/>
                <w:szCs w:val="20"/>
              </w:rPr>
              <w:t xml:space="preserve">17.4</w:t>
            </w:r>
          </w:p>
        </w:tc>
        <w:tc>
          <w:tcPr>
            <w:tcW w:w="819" w:type="dxa"/>
          </w:tcPr>
          <w:tcPr/>
          <w:p>
            <w:pPr>
              <w:spacing w:after="0" w:line="240" w:lineRule="auto"/>
              <w:pStyle w:val="Compact"/>
              <w:jc w:val="right"/>
            </w:pPr>
            <w:r>
              <w:rPr>
                <w:sz w:val="20"/>
                <w:szCs w:val="20"/>
              </w:rPr>
              <w:t xml:space="preserve">17.6</w:t>
            </w:r>
          </w:p>
        </w:tc>
        <w:tc>
          <w:tcPr>
            <w:tcW w:w="819" w:type="dxa"/>
          </w:tcPr>
          <w:tcPr/>
          <w:p>
            <w:pPr>
              <w:spacing w:after="0" w:line="240" w:lineRule="auto"/>
              <w:pStyle w:val="Compact"/>
              <w:jc w:val="right"/>
            </w:pPr>
            <w:r>
              <w:rPr>
                <w:sz w:val="20"/>
                <w:szCs w:val="20"/>
              </w:rPr>
              <w:t xml:space="preserve">18.6</w:t>
            </w:r>
          </w:p>
        </w:tc>
        <w:tc>
          <w:tcPr>
            <w:tcW w:w="824" w:type="dxa"/>
          </w:tcPr>
          <w:tcPr/>
          <w:p>
            <w:pPr>
              <w:spacing w:after="0" w:line="240" w:lineRule="auto"/>
              <w:pStyle w:val="Compact"/>
              <w:jc w:val="right"/>
            </w:pPr>
            <w:r>
              <w:rPr>
                <w:sz w:val="20"/>
                <w:szCs w:val="20"/>
              </w:rPr>
              <w:t xml:space="preserve">17.8</w:t>
            </w:r>
          </w:p>
        </w:tc>
      </w:tr>
      <w:tr>
        <w:tc>
          <w:tcPr>
            <w:tcW w:w="4304" w:type="dxa"/>
          </w:tcPr>
          <w:tcPr/>
          <w:p>
            <w:pPr>
              <w:spacing w:after="0" w:line="240" w:lineRule="auto"/>
              <w:pStyle w:val="Compact"/>
              <w:jc w:val="left"/>
            </w:pPr>
            <w:r>
              <w:rPr>
                <w:sz w:val="20"/>
                <w:szCs w:val="20"/>
              </w:rPr>
              <w:t xml:space="preserve">Daytime fraction 09:00–17:00, weekday</w:t>
            </w:r>
          </w:p>
        </w:tc>
        <w:tc>
          <w:tcPr>
            <w:tcW w:w="956" w:type="dxa"/>
          </w:tcPr>
          <w:tcPr/>
          <w:p>
            <w:pPr>
              <w:spacing w:after="0" w:line="240" w:lineRule="auto"/>
              <w:pStyle w:val="Compact"/>
              <w:jc w:val="right"/>
            </w:pPr>
            <w:r>
              <w:rPr>
                <w:sz w:val="20"/>
                <w:szCs w:val="20"/>
              </w:rPr>
              <w:t xml:space="preserve">0.26</w:t>
            </w:r>
          </w:p>
        </w:tc>
        <w:tc>
          <w:tcPr>
            <w:tcW w:w="819" w:type="dxa"/>
          </w:tcPr>
          <w:tcPr/>
          <w:p>
            <w:pPr>
              <w:spacing w:after="0" w:line="240" w:lineRule="auto"/>
              <w:pStyle w:val="Compact"/>
              <w:jc w:val="right"/>
            </w:pPr>
            <w:r>
              <w:rPr>
                <w:sz w:val="20"/>
                <w:szCs w:val="20"/>
              </w:rPr>
              <w:t xml:space="preserve">0.38</w:t>
            </w:r>
          </w:p>
        </w:tc>
        <w:tc>
          <w:tcPr>
            <w:tcW w:w="819" w:type="dxa"/>
          </w:tcPr>
          <w:tcPr/>
          <w:p>
            <w:pPr>
              <w:spacing w:after="0" w:line="240" w:lineRule="auto"/>
              <w:pStyle w:val="Compact"/>
              <w:jc w:val="right"/>
            </w:pPr>
            <w:r>
              <w:rPr>
                <w:sz w:val="20"/>
                <w:szCs w:val="20"/>
              </w:rPr>
              <w:t xml:space="preserve">0.36</w:t>
            </w:r>
          </w:p>
        </w:tc>
        <w:tc>
          <w:tcPr>
            <w:tcW w:w="819" w:type="dxa"/>
          </w:tcPr>
          <w:tcPr/>
          <w:p>
            <w:pPr>
              <w:spacing w:after="0" w:line="240" w:lineRule="auto"/>
              <w:pStyle w:val="Compact"/>
              <w:jc w:val="right"/>
            </w:pPr>
            <w:r>
              <w:rPr>
                <w:sz w:val="20"/>
                <w:szCs w:val="20"/>
              </w:rPr>
              <w:t xml:space="preserve">0.40</w:t>
            </w:r>
          </w:p>
        </w:tc>
        <w:tc>
          <w:tcPr>
            <w:tcW w:w="819" w:type="dxa"/>
          </w:tcPr>
          <w:tcPr/>
          <w:p>
            <w:pPr>
              <w:spacing w:after="0" w:line="240" w:lineRule="auto"/>
              <w:pStyle w:val="Compact"/>
              <w:jc w:val="right"/>
            </w:pPr>
            <w:r>
              <w:rPr>
                <w:sz w:val="20"/>
                <w:szCs w:val="20"/>
              </w:rPr>
              <w:t xml:space="preserve">0.52</w:t>
            </w:r>
          </w:p>
        </w:tc>
        <w:tc>
          <w:tcPr>
            <w:tcW w:w="824" w:type="dxa"/>
          </w:tcPr>
          <w:tcPr/>
          <w:p>
            <w:pPr>
              <w:spacing w:after="0" w:line="240" w:lineRule="auto"/>
              <w:pStyle w:val="Compact"/>
              <w:jc w:val="right"/>
            </w:pPr>
            <w:r>
              <w:rPr>
                <w:sz w:val="20"/>
                <w:szCs w:val="20"/>
              </w:rPr>
              <w:t xml:space="preserve">0.40</w:t>
            </w:r>
          </w:p>
        </w:tc>
      </w:tr>
      <w:tr>
        <w:tc>
          <w:tcPr>
            <w:tcW w:w="4304" w:type="dxa"/>
          </w:tcPr>
          <w:tcPr/>
          <w:p>
            <w:pPr>
              <w:spacing w:after="0" w:line="240" w:lineRule="auto"/>
              <w:pStyle w:val="Compact"/>
              <w:jc w:val="left"/>
            </w:pPr>
            <w:r>
              <w:rPr>
                <w:sz w:val="20"/>
                <w:szCs w:val="20"/>
              </w:rPr>
              <w:t xml:space="preserve">Daytime fraction 09:00–17:00, weekend</w:t>
            </w:r>
          </w:p>
        </w:tc>
        <w:tc>
          <w:tcPr>
            <w:tcW w:w="956" w:type="dxa"/>
          </w:tcPr>
          <w:tcPr/>
          <w:p>
            <w:pPr>
              <w:spacing w:after="0" w:line="240" w:lineRule="auto"/>
              <w:pStyle w:val="Compact"/>
              <w:jc w:val="right"/>
            </w:pPr>
            <w:r>
              <w:rPr>
                <w:sz w:val="20"/>
                <w:szCs w:val="20"/>
              </w:rPr>
              <w:t xml:space="preserve">0.26</w:t>
            </w:r>
          </w:p>
        </w:tc>
        <w:tc>
          <w:tcPr>
            <w:tcW w:w="819" w:type="dxa"/>
          </w:tcPr>
          <w:tcPr/>
          <w:p>
            <w:pPr>
              <w:spacing w:after="0" w:line="240" w:lineRule="auto"/>
              <w:pStyle w:val="Compact"/>
              <w:jc w:val="right"/>
            </w:pPr>
            <w:r>
              <w:rPr>
                <w:sz w:val="20"/>
                <w:szCs w:val="20"/>
              </w:rPr>
              <w:t xml:space="preserve">0.57</w:t>
            </w:r>
          </w:p>
        </w:tc>
        <w:tc>
          <w:tcPr>
            <w:tcW w:w="819" w:type="dxa"/>
          </w:tcPr>
          <w:tcPr/>
          <w:p>
            <w:pPr>
              <w:spacing w:after="0" w:line="240" w:lineRule="auto"/>
              <w:pStyle w:val="Compact"/>
              <w:jc w:val="right"/>
            </w:pPr>
            <w:r>
              <w:rPr>
                <w:sz w:val="20"/>
                <w:szCs w:val="20"/>
              </w:rPr>
              <w:t xml:space="preserve">0.55</w:t>
            </w:r>
          </w:p>
        </w:tc>
        <w:tc>
          <w:tcPr>
            <w:tcW w:w="819" w:type="dxa"/>
          </w:tcPr>
          <w:tcPr/>
          <w:p>
            <w:pPr>
              <w:spacing w:after="0" w:line="240" w:lineRule="auto"/>
              <w:pStyle w:val="Compact"/>
              <w:jc w:val="right"/>
            </w:pPr>
            <w:r>
              <w:rPr>
                <w:sz w:val="20"/>
                <w:szCs w:val="20"/>
              </w:rPr>
              <w:t xml:space="preserve">0.56</w:t>
            </w:r>
          </w:p>
        </w:tc>
        <w:tc>
          <w:tcPr>
            <w:tcW w:w="819" w:type="dxa"/>
          </w:tcPr>
          <w:tcPr/>
          <w:p>
            <w:pPr>
              <w:spacing w:after="0" w:line="240" w:lineRule="auto"/>
              <w:pStyle w:val="Compact"/>
              <w:jc w:val="right"/>
            </w:pPr>
            <w:r>
              <w:rPr>
                <w:sz w:val="20"/>
                <w:szCs w:val="20"/>
              </w:rPr>
              <w:t xml:space="preserve">0.58</w:t>
            </w:r>
          </w:p>
        </w:tc>
        <w:tc>
          <w:tcPr>
            <w:tcW w:w="824" w:type="dxa"/>
          </w:tcPr>
          <w:tcPr/>
          <w:p>
            <w:pPr>
              <w:spacing w:after="0" w:line="240" w:lineRule="auto"/>
              <w:pStyle w:val="Compact"/>
              <w:jc w:val="right"/>
            </w:pPr>
            <w:r>
              <w:rPr>
                <w:sz w:val="20"/>
                <w:szCs w:val="20"/>
              </w:rPr>
              <w:t xml:space="preserve">0.54</w:t>
            </w:r>
          </w:p>
        </w:tc>
      </w:tr>
      <w:tr>
        <w:tc>
          <w:tcPr>
            <w:tcW w:w="4304" w:type="dxa"/>
          </w:tcPr>
          <w:tcPr/>
          <w:p>
            <w:pPr>
              <w:spacing w:after="0" w:line="240" w:lineRule="auto"/>
              <w:pStyle w:val="Compact"/>
              <w:jc w:val="left"/>
            </w:pPr>
            <w:r>
              <w:rPr>
                <w:sz w:val="20"/>
                <w:szCs w:val="20"/>
              </w:rPr>
              <w:t xml:space="preserve">Mean metabolic rate per person at home, weekday (W)</w:t>
            </w:r>
          </w:p>
        </w:tc>
        <w:tc>
          <w:tcPr>
            <w:tcW w:w="956" w:type="dxa"/>
          </w:tcPr>
          <w:tcPr/>
          <w:p>
            <w:pPr>
              <w:spacing w:after="0" w:line="240" w:lineRule="auto"/>
              <w:pStyle w:val="Compact"/>
              <w:jc w:val="right"/>
            </w:pPr>
            <w:r>
              <w:rPr>
                <w:sz w:val="20"/>
                <w:szCs w:val="20"/>
              </w:rPr>
              <w:t xml:space="preserve">95</w:t>
            </w:r>
          </w:p>
        </w:tc>
        <w:tc>
          <w:tcPr>
            <w:tcW w:w="819" w:type="dxa"/>
          </w:tcPr>
          <w:tcPr/>
          <w:p>
            <w:pPr>
              <w:spacing w:after="0" w:line="240" w:lineRule="auto"/>
              <w:pStyle w:val="Compact"/>
              <w:jc w:val="right"/>
            </w:pPr>
            <w:r>
              <w:rPr>
                <w:sz w:val="20"/>
                <w:szCs w:val="20"/>
              </w:rPr>
              <w:t xml:space="preserve">93</w:t>
            </w:r>
          </w:p>
        </w:tc>
        <w:tc>
          <w:tcPr>
            <w:tcW w:w="819" w:type="dxa"/>
          </w:tcPr>
          <w:tcPr/>
          <w:p>
            <w:pPr>
              <w:spacing w:after="0" w:line="240" w:lineRule="auto"/>
              <w:pStyle w:val="Compact"/>
              <w:jc w:val="right"/>
            </w:pPr>
            <w:r>
              <w:rPr>
                <w:sz w:val="20"/>
                <w:szCs w:val="20"/>
              </w:rPr>
              <w:t xml:space="preserve">97</w:t>
            </w:r>
          </w:p>
        </w:tc>
        <w:tc>
          <w:tcPr>
            <w:tcW w:w="819" w:type="dxa"/>
          </w:tcPr>
          <w:tcPr/>
          <w:p>
            <w:pPr>
              <w:spacing w:after="0" w:line="240" w:lineRule="auto"/>
              <w:pStyle w:val="Compact"/>
              <w:jc w:val="right"/>
            </w:pPr>
            <w:r>
              <w:rPr>
                <w:sz w:val="20"/>
                <w:szCs w:val="20"/>
              </w:rPr>
              <w:t xml:space="preserve">96</w:t>
            </w:r>
          </w:p>
        </w:tc>
        <w:tc>
          <w:tcPr>
            <w:tcW w:w="819" w:type="dxa"/>
          </w:tcPr>
          <w:tcPr/>
          <w:p>
            <w:pPr>
              <w:spacing w:after="0" w:line="240" w:lineRule="auto"/>
              <w:pStyle w:val="Compact"/>
              <w:jc w:val="right"/>
            </w:pPr>
            <w:r>
              <w:rPr>
                <w:sz w:val="20"/>
                <w:szCs w:val="20"/>
              </w:rPr>
              <w:t xml:space="preserve">101</w:t>
            </w:r>
          </w:p>
        </w:tc>
        <w:tc>
          <w:tcPr>
            <w:tcW w:w="824" w:type="dxa"/>
          </w:tcPr>
          <w:tcPr/>
          <w:p>
            <w:pPr>
              <w:spacing w:after="0" w:line="240" w:lineRule="auto"/>
              <w:pStyle w:val="Compact"/>
              <w:jc w:val="right"/>
            </w:pPr>
            <w:r>
              <w:rPr>
                <w:sz w:val="20"/>
                <w:szCs w:val="20"/>
              </w:rPr>
              <w:t xml:space="preserve">98</w:t>
            </w:r>
          </w:p>
        </w:tc>
      </w:tr>
      <w:tr>
        <w:tc>
          <w:tcPr>
            <w:tcW w:w="4304" w:type="dxa"/>
          </w:tcPr>
          <w:tcPr/>
          <w:p>
            <w:pPr>
              <w:spacing w:after="0" w:line="240" w:lineRule="auto"/>
              <w:pStyle w:val="Compact"/>
              <w:jc w:val="left"/>
            </w:pPr>
            <w:r>
              <w:rPr>
                <w:sz w:val="20"/>
                <w:szCs w:val="20"/>
              </w:rPr>
              <w:t xml:space="preserve">Households</w:t>
            </w:r>
          </w:p>
        </w:tc>
        <w:tc>
          <w:tcPr>
            <w:tcW w:w="956" w:type="dxa"/>
          </w:tcPr>
          <w:tcPr/>
          <w:p>
            <w:pPr>
              <w:spacing w:after="0" w:line="240" w:lineRule="auto"/>
              <w:pStyle w:val="Compact"/>
              <w:jc w:val="right"/>
            </w:pPr>
            <w:r>
              <w:rPr>
                <w:sz w:val="20"/>
                <w:szCs w:val="20"/>
              </w:rPr>
              <w:t xml:space="preserve">—</w:t>
            </w:r>
          </w:p>
        </w:tc>
        <w:tc>
          <w:tcPr>
            <w:tcW w:w="819" w:type="dxa"/>
          </w:tcPr>
          <w:tcPr/>
          <w:p>
            <w:pPr>
              <w:spacing w:after="0" w:line="240" w:lineRule="auto"/>
              <w:pStyle w:val="Compact"/>
              <w:jc w:val="right"/>
            </w:pPr>
            <w:r>
              <w:rPr>
                <w:sz w:val="20"/>
                <w:szCs w:val="20"/>
              </w:rPr>
              <w:t xml:space="preserve">28,455</w:t>
            </w:r>
          </w:p>
        </w:tc>
        <w:tc>
          <w:tcPr>
            <w:tcW w:w="819" w:type="dxa"/>
          </w:tcPr>
          <w:tcPr/>
          <w:p>
            <w:pPr>
              <w:spacing w:after="0" w:line="240" w:lineRule="auto"/>
              <w:pStyle w:val="Compact"/>
              <w:jc w:val="right"/>
            </w:pPr>
            <w:r>
              <w:rPr>
                <w:sz w:val="20"/>
                <w:szCs w:val="20"/>
              </w:rPr>
              <w:t xml:space="preserve">32,440</w:t>
            </w:r>
          </w:p>
        </w:tc>
        <w:tc>
          <w:tcPr>
            <w:tcW w:w="819" w:type="dxa"/>
          </w:tcPr>
          <w:tcPr/>
          <w:p>
            <w:pPr>
              <w:spacing w:after="0" w:line="240" w:lineRule="auto"/>
              <w:pStyle w:val="Compact"/>
              <w:jc w:val="right"/>
            </w:pPr>
            <w:r>
              <w:rPr>
                <w:sz w:val="20"/>
                <w:szCs w:val="20"/>
              </w:rPr>
              <w:t xml:space="preserve">31,167</w:t>
            </w:r>
          </w:p>
        </w:tc>
        <w:tc>
          <w:tcPr>
            <w:tcW w:w="819" w:type="dxa"/>
          </w:tcPr>
          <w:tcPr/>
          <w:p>
            <w:pPr>
              <w:spacing w:after="0" w:line="240" w:lineRule="auto"/>
              <w:pStyle w:val="Compact"/>
              <w:jc w:val="right"/>
            </w:pPr>
            <w:r>
              <w:rPr>
                <w:sz w:val="20"/>
                <w:szCs w:val="20"/>
              </w:rPr>
              <w:t xml:space="preserve">36,785</w:t>
            </w:r>
          </w:p>
        </w:tc>
        <w:tc>
          <w:tcPr>
            <w:tcW w:w="824" w:type="dxa"/>
          </w:tcPr>
          <w:tcPr/>
          <w:p>
            <w:pPr>
              <w:spacing w:after="0" w:line="240" w:lineRule="auto"/>
              <w:pStyle w:val="Compact"/>
              <w:jc w:val="right"/>
            </w:pPr>
            <w:r>
              <w:rPr>
                <w:sz w:val="20"/>
                <w:szCs w:val="20"/>
              </w:rPr>
              <w:t xml:space="preserve">23,882</w:t>
            </w:r>
          </w:p>
        </w:tc>
      </w:tr>
    </w:tbl>
    <w:bookmarkEnd w:id="81"/>
    <w:bookmarkStart w:id="85" w:name="metabolic-rate"/>
    <w:p>
      <w:pPr>
        <w:pStyle w:val="Heading3"/>
      </w:pPr>
      <w:r>
        <w:t xml:space="preserve">4.1.2 Metabolic rate</w:t>
      </w:r>
    </w:p>
    <w:p>
      <w:pPr>
        <w:pStyle w:val="FirstParagraph"/>
      </w:pPr>
      <w:r>
        <w:t xml:space="preserve">Figure 8 shows the mean metabolic rate per person at home. It falls to about 70 W at night, when most members sleep, and rises to 110–133 W during the day, highest in 2022. The Default applies a constant 95 W, so it overstates night-time gains by about a third and understates daytime gains, while its mean is close to the survey mean over occupied hours (93 to 101 W). The Default error in metabolic heat is therefore mainly one of timing, not of magnitude.</w:t>
      </w:r>
    </w:p>
    <w:p>
      <w:pPr>
        <w:pStyle w:val="BodyText"/>
        <w:keepNext/>
        <w:jc w:val="center"/>
      </w:pPr>
      <w:r>
        <w:drawing>
          <wp:inline>
            <wp:extent cx="5334000" cy="3048000"/>
            <wp:effectExtent b="0" l="0" r="0" t="0"/>
            <wp:docPr descr="" title="" id="83" name="Picture"/>
            <a:graphic>
              <a:graphicData uri="http://schemas.openxmlformats.org/drawingml/2006/picture">
                <pic:pic>
                  <pic:nvPicPr>
                    <pic:cNvPr descr="../figures/Fig8_metabolic_R1.png" id="84" name="Picture"/>
                    <pic:cNvPicPr>
                      <a:picLocks noChangeArrowheads="1" noChangeAspect="1"/>
                    </pic:cNvPicPr>
                  </pic:nvPicPr>
                  <pic:blipFill>
                    <a:blip r:embed="rId8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Figure 8. Mean hourly metabolic rate per person at home, by cycle, and the constant Default value.</w:t>
      </w:r>
    </w:p>
    <w:bookmarkEnd w:id="85"/>
    <w:bookmarkStart w:id="89" w:name="default-and-survey-based-schedules"/>
    <w:p>
      <w:pPr>
        <w:pStyle w:val="Heading3"/>
      </w:pPr>
      <w:r>
        <w:t xml:space="preserve">4.1.3 Default and survey-based schedules</w:t>
      </w:r>
    </w:p>
    <w:p>
      <w:pPr>
        <w:pStyle w:val="FirstParagraph"/>
      </w:pPr>
      <w:r>
        <w:t xml:space="preserve">Figure 9 compares the Default occupancy schedule with the survey-based profiles. Over a whole day the two are close: the Default mean occupancy is 0.68 on every day, against 0.65 to 0.75 on weekdays and 0.73 to 0.77 on weekends in the survey-based files. Their shape differs. The Default keeps every occupant at home until 07:00, drops to 0.25 between 09:00 and 16:00 and returns to 0.87–1.0 from 18:00, whereas the survey-based profiles fall gradually from 06:00, stay between 0.32 and 0.59 during the working day and rise gradually from 15:00. The Default daytime fraction (0.26) is thus below every cycle on weekdays (0.36 to 0.52) and far below them on weekends (0.54 to 0.58), and the Default has no weekday–weekend difference at all.</w:t>
      </w:r>
    </w:p>
    <w:p>
      <w:pPr>
        <w:pStyle w:val="BodyText"/>
        <w:keepNext/>
        <w:jc w:val="center"/>
      </w:pPr>
      <w:r>
        <w:drawing>
          <wp:inline>
            <wp:extent cx="5334000" cy="2026920"/>
            <wp:effectExtent b="0" l="0" r="0" t="0"/>
            <wp:docPr descr="" title="" id="87" name="Picture"/>
            <a:graphic>
              <a:graphicData uri="http://schemas.openxmlformats.org/drawingml/2006/picture">
                <pic:pic>
                  <pic:nvPicPr>
                    <pic:cNvPr descr="../figures/Fig9_default_vs_cycles_R1.png" id="88" name="Picture"/>
                    <pic:cNvPicPr>
                      <a:picLocks noChangeArrowheads="1" noChangeAspect="1"/>
                    </pic:cNvPicPr>
                  </pic:nvPicPr>
                  <pic:blipFill>
                    <a:blip r:embed="rId86"/>
                    <a:stretch>
                      <a:fillRect/>
                    </a:stretch>
                  </pic:blipFill>
                  <pic:spPr bwMode="auto">
                    <a:xfrm>
                      <a:off x="0" y="0"/>
                      <a:ext cx="5334000" cy="2026920"/>
                    </a:xfrm>
                    <a:prstGeom prst="rect">
                      <a:avLst/>
                    </a:prstGeom>
                    <a:noFill/>
                    <a:ln w="9525">
                      <a:noFill/>
                      <a:headEnd/>
                      <a:tailEnd/>
                    </a:ln>
                  </pic:spPr>
                </pic:pic>
              </a:graphicData>
            </a:graphic>
          </wp:inline>
        </w:drawing>
      </w:r>
    </w:p>
    <w:p>
      <w:pPr>
        <w:pStyle w:val="BodyText"/>
      </w:pPr>
      <w:r>
        <w:t xml:space="preserve">Figure 9. Hourly occupancy fraction of the Default schedule and of each cycle: (a) weekday, (b) weekend.</w:t>
      </w:r>
    </w:p>
    <w:bookmarkEnd w:id="89"/>
    <w:bookmarkStart w:id="90" w:name="household-size"/>
    <w:p>
      <w:pPr>
        <w:pStyle w:val="Heading3"/>
      </w:pPr>
      <w:r>
        <w:t xml:space="preserve">4.1.4 Household size</w:t>
      </w:r>
    </w:p>
    <w:p>
      <w:pPr>
        <w:pStyle w:val="FirstParagraph"/>
      </w:pPr>
      <w:r>
        <w:t xml:space="preserve">With the occupancy fraction defined as the share of members at home, household size has little effect on presence: in 2025, weekday occupied hours range from 16.1 h (one person) to 17.0 h (three persons), and in the other cycles the range across sizes is at most 1.8 h. One-person households have the highest weekday daytime fraction in 2005, 2010 and 2015 (0.43 to 0.47, against 0.29 to 0.40 for larger households), but not in 2022 or 2025. The strong decline with household size reported in the submitted version (from 18.2 h to 5.2 h) came from the earlier files, in which the occupancy fraction was divided by the full household size, including members without a diary; it does not hold under the definition used here.</w:t>
      </w:r>
    </w:p>
    <w:bookmarkEnd w:id="90"/>
    <w:bookmarkEnd w:id="91"/>
    <w:bookmarkStart w:id="92" w:name="hindcast-of-the-projection"/>
    <w:p>
      <w:pPr>
        <w:pStyle w:val="Heading2"/>
      </w:pPr>
      <w:r>
        <w:t xml:space="preserve">4.2 Hindcast of the projection</w:t>
      </w:r>
    </w:p>
    <w:p>
      <w:pPr>
        <w:pStyle w:val="FirstParagraph"/>
      </w:pPr>
      <w:r>
        <w:t xml:space="preserve">Table 9 gives the distance of each method to the held-out 2021 Census. CBVM was closer to 2021 than carry-forward (B0) on 7 of the 24 variables (sex, marital status, official languages, class of worker, occupation, place of work status and commuting mode) and farther on the other 17. The pass rule set before the test was therefore not met, and the claim that CBVM projects better than carrying the last census forward is dropped. The differences between the methods were small: averaged over the 24 variables, the distance was 0.037 for B0, 0.041 for B1, 0.039 for B2 and 0.040 for CBVM. CBVM was also close to the single-cluster drift B2 and was closer to 2021 than B2 on only 5 of the 24 variables, so grouping the population into clusters did not improve the projection of these distributions. The largest distances, about 0.17 for every method, were for hours worked, place of work status and commuting mode; the 2021 Census was taken in May 2021, during the COVID-19 pandemic, and none of the methods reproduced the change in work arrangements it recorded. The verdict did not depend on the settings: every combination of K (4, 8, 12) and decay (0.90, 0.95, 1.00) left CBVM closer than B0 on 7 of the 24 variables, and latent sizes of 64, 128 and 256 gave 5 to 7 (Appendix A, Table A1 and Figure A1). The 2025 cohort itself was stable across settings: changing K, the decay or the seed moved it by at most 0.0044 on any variable (Table A2).</w:t>
      </w:r>
    </w:p>
    <w:p>
      <w:pPr>
        <w:pStyle w:val="BodyText"/>
      </w:pPr>
      <w:r>
        <w:t xml:space="preserve">Table 9. Distance of each projection method to the held-out 2021 Census, per variable: total-variation distance (TVD) for categorical variables and Wasserstein-1 distance on range-scaled values (W1) for continuous ones; lower is closer. B0 and B1 are deterministic; B2 and CBVM are means over five seeds, with the CBVM range in brackets. Methods as defined in Section 3.3.</w:t>
      </w:r>
    </w:p>
    <w:tbl>
      <w:tblPr>
        <w:tblStyle w:val="Table"/>
        <w:tblW w:type="pct" w:w="5000"/>
        <w:tblLayout w:type="fixed"/>
        <w:tblCellMar>
          <w:left w:w="72" w:type="dxa"/>
          <w:right w:w="72" w:type="dxa"/>
        </w:tblCellMar>
        <w:tblLook w:firstRow="1" w:lastRow="0" w:firstColumn="0" w:lastColumn="0" w:noHBand="0" w:noVBand="0" w:val="0020"/>
      </w:tblPr>
      <w:tblGrid>
        <w:gridCol w:w="2231"/>
        <w:gridCol w:w="883"/>
        <w:gridCol w:w="1030"/>
        <w:gridCol w:w="883"/>
        <w:gridCol w:w="735"/>
        <w:gridCol w:w="2713"/>
        <w:gridCol w:w="885"/>
      </w:tblGrid>
      <w:tr>
        <w:trPr>
          <w:tblHeader w:val="on"/>
        </w:trPr>
        <w:tc>
          <w:tcPr>
            <w:tcW w:w="2231" w:type="dxa"/>
          </w:tcPr>
          <w:tcPr/>
          <w:p>
            <w:pPr>
              <w:spacing w:after="0" w:line="240" w:lineRule="auto"/>
              <w:pStyle w:val="Compact"/>
              <w:jc w:val="left"/>
            </w:pPr>
            <w:r>
              <w:rPr>
                <w:sz w:val="20"/>
                <w:szCs w:val="20"/>
              </w:rPr>
              <w:t xml:space="preserve">Variable</w:t>
            </w:r>
          </w:p>
        </w:tc>
        <w:tc>
          <w:tcPr>
            <w:tcW w:w="883" w:type="dxa"/>
          </w:tcPr>
          <w:tcPr/>
          <w:p>
            <w:pPr>
              <w:spacing w:after="0" w:line="240" w:lineRule="auto"/>
              <w:pStyle w:val="Compact"/>
              <w:jc w:val="left"/>
            </w:pPr>
            <w:r>
              <w:rPr>
                <w:sz w:val="20"/>
                <w:szCs w:val="20"/>
              </w:rPr>
              <w:t xml:space="preserve">Metric</w:t>
            </w:r>
          </w:p>
        </w:tc>
        <w:tc>
          <w:tcPr>
            <w:tcW w:w="1030" w:type="dxa"/>
          </w:tcPr>
          <w:tcPr/>
          <w:p>
            <w:pPr>
              <w:spacing w:after="0" w:line="240" w:lineRule="auto"/>
              <w:pStyle w:val="Compact"/>
              <w:jc w:val="right"/>
            </w:pPr>
            <w:r>
              <w:rPr>
                <w:sz w:val="20"/>
                <w:szCs w:val="20"/>
              </w:rPr>
              <w:t xml:space="preserve">B0 carry-forward</w:t>
            </w:r>
          </w:p>
        </w:tc>
        <w:tc>
          <w:tcPr>
            <w:tcW w:w="883" w:type="dxa"/>
          </w:tcPr>
          <w:tcPr/>
          <w:p>
            <w:pPr>
              <w:spacing w:after="0" w:line="240" w:lineRule="auto"/>
              <w:pStyle w:val="Compact"/>
              <w:jc w:val="right"/>
            </w:pPr>
            <w:r>
              <w:rPr>
                <w:sz w:val="20"/>
                <w:szCs w:val="20"/>
              </w:rPr>
              <w:t xml:space="preserve">B1 linear trend</w:t>
            </w:r>
          </w:p>
        </w:tc>
        <w:tc>
          <w:tcPr>
            <w:tcW w:w="735" w:type="dxa"/>
          </w:tcPr>
          <w:tcPr/>
          <w:p>
            <w:pPr>
              <w:spacing w:after="0" w:line="240" w:lineRule="auto"/>
              <w:pStyle w:val="Compact"/>
              <w:jc w:val="right"/>
            </w:pPr>
            <w:r>
              <w:rPr>
                <w:sz w:val="20"/>
                <w:szCs w:val="20"/>
              </w:rPr>
              <w:t xml:space="preserve">B2 mean drift</w:t>
            </w:r>
          </w:p>
        </w:tc>
        <w:tc>
          <w:tcPr>
            <w:tcW w:w="2713" w:type="dxa"/>
          </w:tcPr>
          <w:tcPr/>
          <w:p>
            <w:pPr>
              <w:spacing w:after="0" w:line="240" w:lineRule="auto"/>
              <w:pStyle w:val="Compact"/>
              <w:jc w:val="right"/>
            </w:pPr>
            <w:r>
              <w:rPr>
                <w:sz w:val="20"/>
                <w:szCs w:val="20"/>
              </w:rPr>
              <w:t xml:space="preserve">CBVM (K = 8) mean [min–max, 5 seeds]</w:t>
            </w:r>
          </w:p>
        </w:tc>
        <w:tc>
          <w:tcPr>
            <w:tcW w:w="885" w:type="dxa"/>
          </w:tcPr>
          <w:tcPr/>
          <w:p>
            <w:pPr>
              <w:spacing w:after="0" w:line="240" w:lineRule="auto"/>
              <w:pStyle w:val="Compact"/>
              <w:jc w:val="left"/>
            </w:pPr>
            <w:r>
              <w:rPr>
                <w:sz w:val="20"/>
                <w:szCs w:val="20"/>
              </w:rPr>
              <w:t xml:space="preserve">Closer to 2021: CBVM or B0</w:t>
            </w:r>
          </w:p>
        </w:tc>
      </w:tr>
      <w:tr>
        <w:tc>
          <w:tcPr>
            <w:tcW w:w="2231" w:type="dxa"/>
          </w:tcPr>
          <w:tcPr/>
          <w:p>
            <w:pPr>
              <w:spacing w:after="0" w:line="240" w:lineRule="auto"/>
              <w:pStyle w:val="Compact"/>
              <w:jc w:val="left"/>
            </w:pPr>
            <w:r>
              <w:rPr>
                <w:sz w:val="20"/>
                <w:szCs w:val="20"/>
              </w:rPr>
              <w:t xml:space="preserve">Age group</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0.039</w:t>
            </w:r>
          </w:p>
        </w:tc>
        <w:tc>
          <w:tcPr>
            <w:tcW w:w="883" w:type="dxa"/>
          </w:tcPr>
          <w:tcPr/>
          <w:p>
            <w:pPr>
              <w:spacing w:after="0" w:line="240" w:lineRule="auto"/>
              <w:pStyle w:val="Compact"/>
              <w:jc w:val="right"/>
            </w:pPr>
            <w:r>
              <w:rPr>
                <w:sz w:val="20"/>
                <w:szCs w:val="20"/>
              </w:rPr>
              <w:t xml:space="preserve">0.048</w:t>
            </w:r>
          </w:p>
        </w:tc>
        <w:tc>
          <w:tcPr>
            <w:tcW w:w="735" w:type="dxa"/>
          </w:tcPr>
          <w:tcPr/>
          <w:p>
            <w:pPr>
              <w:spacing w:after="0" w:line="240" w:lineRule="auto"/>
              <w:pStyle w:val="Compact"/>
              <w:jc w:val="right"/>
            </w:pPr>
            <w:r>
              <w:rPr>
                <w:sz w:val="20"/>
                <w:szCs w:val="20"/>
              </w:rPr>
              <w:t xml:space="preserve">0.040</w:t>
            </w:r>
          </w:p>
        </w:tc>
        <w:tc>
          <w:tcPr>
            <w:tcW w:w="2713" w:type="dxa"/>
          </w:tcPr>
          <w:tcPr/>
          <w:p>
            <w:pPr>
              <w:spacing w:after="0" w:line="240" w:lineRule="auto"/>
              <w:pStyle w:val="Compact"/>
              <w:jc w:val="right"/>
            </w:pPr>
            <w:r>
              <w:rPr>
                <w:sz w:val="20"/>
                <w:szCs w:val="20"/>
              </w:rPr>
              <w:t xml:space="preserve">0.040 [0.039–0.042]</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Sex</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0.001</w:t>
            </w:r>
          </w:p>
        </w:tc>
        <w:tc>
          <w:tcPr>
            <w:tcW w:w="883" w:type="dxa"/>
          </w:tcPr>
          <w:tcPr/>
          <w:p>
            <w:pPr>
              <w:spacing w:after="0" w:line="240" w:lineRule="auto"/>
              <w:pStyle w:val="Compact"/>
              <w:jc w:val="right"/>
            </w:pPr>
            <w:r>
              <w:rPr>
                <w:sz w:val="20"/>
                <w:szCs w:val="20"/>
              </w:rPr>
              <w:t xml:space="preserve">0.002</w:t>
            </w:r>
          </w:p>
        </w:tc>
        <w:tc>
          <w:tcPr>
            <w:tcW w:w="735" w:type="dxa"/>
          </w:tcPr>
          <w:tcPr/>
          <w:p>
            <w:pPr>
              <w:spacing w:after="0" w:line="240" w:lineRule="auto"/>
              <w:pStyle w:val="Compact"/>
              <w:jc w:val="right"/>
            </w:pPr>
            <w:r>
              <w:rPr>
                <w:sz w:val="20"/>
                <w:szCs w:val="20"/>
              </w:rPr>
              <w:t xml:space="preserve">0.000</w:t>
            </w:r>
          </w:p>
        </w:tc>
        <w:tc>
          <w:tcPr>
            <w:tcW w:w="2713" w:type="dxa"/>
          </w:tcPr>
          <w:tcPr/>
          <w:p>
            <w:pPr>
              <w:spacing w:after="0" w:line="240" w:lineRule="auto"/>
              <w:pStyle w:val="Compact"/>
              <w:jc w:val="right"/>
            </w:pPr>
            <w:r>
              <w:rPr>
                <w:sz w:val="20"/>
                <w:szCs w:val="20"/>
              </w:rPr>
              <w:t xml:space="preserve">0.000 [0.000–0.001]</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Marital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0.012</w:t>
            </w:r>
          </w:p>
        </w:tc>
        <w:tc>
          <w:tcPr>
            <w:tcW w:w="883" w:type="dxa"/>
          </w:tcPr>
          <w:tcPr/>
          <w:p>
            <w:pPr>
              <w:spacing w:after="0" w:line="240" w:lineRule="auto"/>
              <w:pStyle w:val="Compact"/>
              <w:jc w:val="right"/>
            </w:pPr>
            <w:r>
              <w:rPr>
                <w:sz w:val="20"/>
                <w:szCs w:val="20"/>
              </w:rPr>
              <w:t xml:space="preserve">0.019</w:t>
            </w:r>
          </w:p>
        </w:tc>
        <w:tc>
          <w:tcPr>
            <w:tcW w:w="735" w:type="dxa"/>
          </w:tcPr>
          <w:tcPr/>
          <w:p>
            <w:pPr>
              <w:spacing w:after="0" w:line="240" w:lineRule="auto"/>
              <w:pStyle w:val="Compact"/>
              <w:jc w:val="right"/>
            </w:pPr>
            <w:r>
              <w:rPr>
                <w:sz w:val="20"/>
                <w:szCs w:val="20"/>
              </w:rPr>
              <w:t xml:space="preserve">0.011</w:t>
            </w:r>
          </w:p>
        </w:tc>
        <w:tc>
          <w:tcPr>
            <w:tcW w:w="2713" w:type="dxa"/>
          </w:tcPr>
          <w:tcPr/>
          <w:p>
            <w:pPr>
              <w:spacing w:after="0" w:line="240" w:lineRule="auto"/>
              <w:pStyle w:val="Compact"/>
              <w:jc w:val="right"/>
            </w:pPr>
            <w:r>
              <w:rPr>
                <w:sz w:val="20"/>
                <w:szCs w:val="20"/>
              </w:rPr>
              <w:t xml:space="preserve">0.011 [0.008–0.013]</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Household size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0.028</w:t>
            </w:r>
          </w:p>
        </w:tc>
        <w:tc>
          <w:tcPr>
            <w:tcW w:w="883" w:type="dxa"/>
          </w:tcPr>
          <w:tcPr/>
          <w:p>
            <w:pPr>
              <w:spacing w:after="0" w:line="240" w:lineRule="auto"/>
              <w:pStyle w:val="Compact"/>
              <w:jc w:val="right"/>
            </w:pPr>
            <w:r>
              <w:rPr>
                <w:sz w:val="20"/>
                <w:szCs w:val="20"/>
              </w:rPr>
              <w:t xml:space="preserve">0.058</w:t>
            </w:r>
          </w:p>
        </w:tc>
        <w:tc>
          <w:tcPr>
            <w:tcW w:w="735" w:type="dxa"/>
          </w:tcPr>
          <w:tcPr/>
          <w:p>
            <w:pPr>
              <w:spacing w:after="0" w:line="240" w:lineRule="auto"/>
              <w:pStyle w:val="Compact"/>
              <w:jc w:val="right"/>
            </w:pPr>
            <w:r>
              <w:rPr>
                <w:sz w:val="20"/>
                <w:szCs w:val="20"/>
              </w:rPr>
              <w:t xml:space="preserve">0.029</w:t>
            </w:r>
          </w:p>
        </w:tc>
        <w:tc>
          <w:tcPr>
            <w:tcW w:w="2713" w:type="dxa"/>
          </w:tcPr>
          <w:tcPr/>
          <w:p>
            <w:pPr>
              <w:spacing w:after="0" w:line="240" w:lineRule="auto"/>
              <w:pStyle w:val="Compact"/>
              <w:jc w:val="right"/>
            </w:pPr>
            <w:r>
              <w:rPr>
                <w:sz w:val="20"/>
                <w:szCs w:val="20"/>
              </w:rPr>
              <w:t xml:space="preserve">0.029 [0.025–0.036]</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Economic family size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0.026</w:t>
            </w:r>
          </w:p>
        </w:tc>
        <w:tc>
          <w:tcPr>
            <w:tcW w:w="883" w:type="dxa"/>
          </w:tcPr>
          <w:tcPr/>
          <w:p>
            <w:pPr>
              <w:spacing w:after="0" w:line="240" w:lineRule="auto"/>
              <w:pStyle w:val="Compact"/>
              <w:jc w:val="right"/>
            </w:pPr>
            <w:r>
              <w:rPr>
                <w:sz w:val="20"/>
                <w:szCs w:val="20"/>
              </w:rPr>
              <w:t xml:space="preserve">0.068</w:t>
            </w:r>
          </w:p>
        </w:tc>
        <w:tc>
          <w:tcPr>
            <w:tcW w:w="735" w:type="dxa"/>
          </w:tcPr>
          <w:tcPr/>
          <w:p>
            <w:pPr>
              <w:spacing w:after="0" w:line="240" w:lineRule="auto"/>
              <w:pStyle w:val="Compact"/>
              <w:jc w:val="right"/>
            </w:pPr>
            <w:r>
              <w:rPr>
                <w:sz w:val="20"/>
                <w:szCs w:val="20"/>
              </w:rPr>
              <w:t xml:space="preserve">0.027</w:t>
            </w:r>
          </w:p>
        </w:tc>
        <w:tc>
          <w:tcPr>
            <w:tcW w:w="2713" w:type="dxa"/>
          </w:tcPr>
          <w:tcPr/>
          <w:p>
            <w:pPr>
              <w:spacing w:after="0" w:line="240" w:lineRule="auto"/>
              <w:pStyle w:val="Compact"/>
              <w:jc w:val="right"/>
            </w:pPr>
            <w:r>
              <w:rPr>
                <w:sz w:val="20"/>
                <w:szCs w:val="20"/>
              </w:rPr>
              <w:t xml:space="preserve">0.028 [0.024–0.031]</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Census family size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0.023</w:t>
            </w:r>
          </w:p>
        </w:tc>
        <w:tc>
          <w:tcPr>
            <w:tcW w:w="883" w:type="dxa"/>
          </w:tcPr>
          <w:tcPr/>
          <w:p>
            <w:pPr>
              <w:spacing w:after="0" w:line="240" w:lineRule="auto"/>
              <w:pStyle w:val="Compact"/>
              <w:jc w:val="right"/>
            </w:pPr>
            <w:r>
              <w:rPr>
                <w:sz w:val="20"/>
                <w:szCs w:val="20"/>
              </w:rPr>
              <w:t xml:space="preserve">0.072</w:t>
            </w:r>
          </w:p>
        </w:tc>
        <w:tc>
          <w:tcPr>
            <w:tcW w:w="735" w:type="dxa"/>
          </w:tcPr>
          <w:tcPr/>
          <w:p>
            <w:pPr>
              <w:spacing w:after="0" w:line="240" w:lineRule="auto"/>
              <w:pStyle w:val="Compact"/>
              <w:jc w:val="right"/>
            </w:pPr>
            <w:r>
              <w:rPr>
                <w:sz w:val="20"/>
                <w:szCs w:val="20"/>
              </w:rPr>
              <w:t xml:space="preserve">0.026</w:t>
            </w:r>
          </w:p>
        </w:tc>
        <w:tc>
          <w:tcPr>
            <w:tcW w:w="2713" w:type="dxa"/>
          </w:tcPr>
          <w:tcPr/>
          <w:p>
            <w:pPr>
              <w:spacing w:after="0" w:line="240" w:lineRule="auto"/>
              <w:pStyle w:val="Compact"/>
              <w:jc w:val="right"/>
            </w:pPr>
            <w:r>
              <w:rPr>
                <w:sz w:val="20"/>
                <w:szCs w:val="20"/>
              </w:rPr>
              <w:t xml:space="preserve">0.026 [0.024–0.029]</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Census family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0.014</w:t>
            </w:r>
          </w:p>
        </w:tc>
        <w:tc>
          <w:tcPr>
            <w:tcW w:w="883" w:type="dxa"/>
          </w:tcPr>
          <w:tcPr/>
          <w:p>
            <w:pPr>
              <w:spacing w:after="0" w:line="240" w:lineRule="auto"/>
              <w:pStyle w:val="Compact"/>
              <w:jc w:val="right"/>
            </w:pPr>
            <w:r>
              <w:rPr>
                <w:sz w:val="20"/>
                <w:szCs w:val="20"/>
              </w:rPr>
              <w:t xml:space="preserve">0.031</w:t>
            </w:r>
          </w:p>
        </w:tc>
        <w:tc>
          <w:tcPr>
            <w:tcW w:w="735" w:type="dxa"/>
          </w:tcPr>
          <w:tcPr/>
          <w:p>
            <w:pPr>
              <w:spacing w:after="0" w:line="240" w:lineRule="auto"/>
              <w:pStyle w:val="Compact"/>
              <w:jc w:val="right"/>
            </w:pPr>
            <w:r>
              <w:rPr>
                <w:sz w:val="20"/>
                <w:szCs w:val="20"/>
              </w:rPr>
              <w:t xml:space="preserve">0.025</w:t>
            </w:r>
          </w:p>
        </w:tc>
        <w:tc>
          <w:tcPr>
            <w:tcW w:w="2713" w:type="dxa"/>
          </w:tcPr>
          <w:tcPr/>
          <w:p>
            <w:pPr>
              <w:spacing w:after="0" w:line="240" w:lineRule="auto"/>
              <w:pStyle w:val="Compact"/>
              <w:jc w:val="right"/>
            </w:pPr>
            <w:r>
              <w:rPr>
                <w:sz w:val="20"/>
                <w:szCs w:val="20"/>
              </w:rPr>
              <w:t xml:space="preserve">0.026 [0.021–0.034]</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Census family role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0.014</w:t>
            </w:r>
          </w:p>
        </w:tc>
        <w:tc>
          <w:tcPr>
            <w:tcW w:w="883" w:type="dxa"/>
          </w:tcPr>
          <w:tcPr/>
          <w:p>
            <w:pPr>
              <w:spacing w:after="0" w:line="240" w:lineRule="auto"/>
              <w:pStyle w:val="Compact"/>
              <w:jc w:val="right"/>
            </w:pPr>
            <w:r>
              <w:rPr>
                <w:sz w:val="20"/>
                <w:szCs w:val="20"/>
              </w:rPr>
              <w:t xml:space="preserve">0.014</w:t>
            </w:r>
          </w:p>
        </w:tc>
        <w:tc>
          <w:tcPr>
            <w:tcW w:w="735" w:type="dxa"/>
          </w:tcPr>
          <w:tcPr/>
          <w:p>
            <w:pPr>
              <w:spacing w:after="0" w:line="240" w:lineRule="auto"/>
              <w:pStyle w:val="Compact"/>
              <w:jc w:val="right"/>
            </w:pPr>
            <w:r>
              <w:rPr>
                <w:sz w:val="20"/>
                <w:szCs w:val="20"/>
              </w:rPr>
              <w:t xml:space="preserve">0.026</w:t>
            </w:r>
          </w:p>
        </w:tc>
        <w:tc>
          <w:tcPr>
            <w:tcW w:w="2713" w:type="dxa"/>
          </w:tcPr>
          <w:tcPr/>
          <w:p>
            <w:pPr>
              <w:spacing w:after="0" w:line="240" w:lineRule="auto"/>
              <w:pStyle w:val="Compact"/>
              <w:jc w:val="right"/>
            </w:pPr>
            <w:r>
              <w:rPr>
                <w:sz w:val="20"/>
                <w:szCs w:val="20"/>
              </w:rPr>
              <w:t xml:space="preserve">0.026 [0.019–0.031]</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Province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0.004</w:t>
            </w:r>
          </w:p>
        </w:tc>
        <w:tc>
          <w:tcPr>
            <w:tcW w:w="883" w:type="dxa"/>
          </w:tcPr>
          <w:tcPr/>
          <w:p>
            <w:pPr>
              <w:spacing w:after="0" w:line="240" w:lineRule="auto"/>
              <w:pStyle w:val="Compact"/>
              <w:jc w:val="right"/>
            </w:pPr>
            <w:r>
              <w:rPr>
                <w:sz w:val="20"/>
                <w:szCs w:val="20"/>
              </w:rPr>
              <w:t xml:space="preserve">0.011</w:t>
            </w:r>
          </w:p>
        </w:tc>
        <w:tc>
          <w:tcPr>
            <w:tcW w:w="735" w:type="dxa"/>
          </w:tcPr>
          <w:tcPr/>
          <w:p>
            <w:pPr>
              <w:spacing w:after="0" w:line="240" w:lineRule="auto"/>
              <w:pStyle w:val="Compact"/>
              <w:jc w:val="right"/>
            </w:pPr>
            <w:r>
              <w:rPr>
                <w:sz w:val="20"/>
                <w:szCs w:val="20"/>
              </w:rPr>
              <w:t xml:space="preserve">0.010</w:t>
            </w:r>
          </w:p>
        </w:tc>
        <w:tc>
          <w:tcPr>
            <w:tcW w:w="2713" w:type="dxa"/>
          </w:tcPr>
          <w:tcPr/>
          <w:p>
            <w:pPr>
              <w:spacing w:after="0" w:line="240" w:lineRule="auto"/>
              <w:pStyle w:val="Compact"/>
              <w:jc w:val="right"/>
            </w:pPr>
            <w:r>
              <w:rPr>
                <w:sz w:val="20"/>
                <w:szCs w:val="20"/>
              </w:rPr>
              <w:t xml:space="preserve">0.010 [0.008–0.013]</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Metropolitan area</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0.004</w:t>
            </w:r>
          </w:p>
        </w:tc>
        <w:tc>
          <w:tcPr>
            <w:tcW w:w="883" w:type="dxa"/>
          </w:tcPr>
          <w:tcPr/>
          <w:p>
            <w:pPr>
              <w:spacing w:after="0" w:line="240" w:lineRule="auto"/>
              <w:pStyle w:val="Compact"/>
              <w:jc w:val="right"/>
            </w:pPr>
            <w:r>
              <w:rPr>
                <w:sz w:val="20"/>
                <w:szCs w:val="20"/>
              </w:rPr>
              <w:t xml:space="preserve">0.011</w:t>
            </w:r>
          </w:p>
        </w:tc>
        <w:tc>
          <w:tcPr>
            <w:tcW w:w="735" w:type="dxa"/>
          </w:tcPr>
          <w:tcPr/>
          <w:p>
            <w:pPr>
              <w:spacing w:after="0" w:line="240" w:lineRule="auto"/>
              <w:pStyle w:val="Compact"/>
              <w:jc w:val="right"/>
            </w:pPr>
            <w:r>
              <w:rPr>
                <w:sz w:val="20"/>
                <w:szCs w:val="20"/>
              </w:rPr>
              <w:t xml:space="preserve">0.015</w:t>
            </w:r>
          </w:p>
        </w:tc>
        <w:tc>
          <w:tcPr>
            <w:tcW w:w="2713" w:type="dxa"/>
          </w:tcPr>
          <w:tcPr/>
          <w:p>
            <w:pPr>
              <w:spacing w:after="0" w:line="240" w:lineRule="auto"/>
              <w:pStyle w:val="Compact"/>
              <w:jc w:val="right"/>
            </w:pPr>
            <w:r>
              <w:rPr>
                <w:sz w:val="20"/>
                <w:szCs w:val="20"/>
              </w:rPr>
              <w:t xml:space="preserve">0.015 [0.011–0.023]</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Official languages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0.008</w:t>
            </w:r>
          </w:p>
        </w:tc>
        <w:tc>
          <w:tcPr>
            <w:tcW w:w="883" w:type="dxa"/>
          </w:tcPr>
          <w:tcPr/>
          <w:p>
            <w:pPr>
              <w:spacing w:after="0" w:line="240" w:lineRule="auto"/>
              <w:pStyle w:val="Compact"/>
              <w:jc w:val="right"/>
            </w:pPr>
            <w:r>
              <w:rPr>
                <w:sz w:val="20"/>
                <w:szCs w:val="20"/>
              </w:rPr>
              <w:t xml:space="preserve">0.009</w:t>
            </w:r>
          </w:p>
        </w:tc>
        <w:tc>
          <w:tcPr>
            <w:tcW w:w="735" w:type="dxa"/>
          </w:tcPr>
          <w:tcPr/>
          <w:p>
            <w:pPr>
              <w:spacing w:after="0" w:line="240" w:lineRule="auto"/>
              <w:pStyle w:val="Compact"/>
              <w:jc w:val="right"/>
            </w:pPr>
            <w:r>
              <w:rPr>
                <w:sz w:val="20"/>
                <w:szCs w:val="20"/>
              </w:rPr>
              <w:t xml:space="preserve">0.006</w:t>
            </w:r>
          </w:p>
        </w:tc>
        <w:tc>
          <w:tcPr>
            <w:tcW w:w="2713" w:type="dxa"/>
          </w:tcPr>
          <w:tcPr/>
          <w:p>
            <w:pPr>
              <w:spacing w:after="0" w:line="240" w:lineRule="auto"/>
              <w:pStyle w:val="Compact"/>
              <w:jc w:val="right"/>
            </w:pPr>
            <w:r>
              <w:rPr>
                <w:sz w:val="20"/>
                <w:szCs w:val="20"/>
              </w:rPr>
              <w:t xml:space="preserve">0.006 [0.004–0.007]</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Citizenship</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0.014</w:t>
            </w:r>
          </w:p>
        </w:tc>
        <w:tc>
          <w:tcPr>
            <w:tcW w:w="883" w:type="dxa"/>
          </w:tcPr>
          <w:tcPr/>
          <w:p>
            <w:pPr>
              <w:spacing w:after="0" w:line="240" w:lineRule="auto"/>
              <w:pStyle w:val="Compact"/>
              <w:jc w:val="right"/>
            </w:pPr>
            <w:r>
              <w:rPr>
                <w:sz w:val="20"/>
                <w:szCs w:val="20"/>
              </w:rPr>
              <w:t xml:space="preserve">0.013</w:t>
            </w:r>
          </w:p>
        </w:tc>
        <w:tc>
          <w:tcPr>
            <w:tcW w:w="735" w:type="dxa"/>
          </w:tcPr>
          <w:tcPr/>
          <w:p>
            <w:pPr>
              <w:spacing w:after="0" w:line="240" w:lineRule="auto"/>
              <w:pStyle w:val="Compact"/>
              <w:jc w:val="right"/>
            </w:pPr>
            <w:r>
              <w:rPr>
                <w:sz w:val="20"/>
                <w:szCs w:val="20"/>
              </w:rPr>
              <w:t xml:space="preserve">0.022</w:t>
            </w:r>
          </w:p>
        </w:tc>
        <w:tc>
          <w:tcPr>
            <w:tcW w:w="2713" w:type="dxa"/>
          </w:tcPr>
          <w:tcPr/>
          <w:p>
            <w:pPr>
              <w:spacing w:after="0" w:line="240" w:lineRule="auto"/>
              <w:pStyle w:val="Compact"/>
              <w:jc w:val="right"/>
            </w:pPr>
            <w:r>
              <w:rPr>
                <w:sz w:val="20"/>
                <w:szCs w:val="20"/>
              </w:rPr>
              <w:t xml:space="preserve">0.022 [0.018–0.026]</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Generation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0.017</w:t>
            </w:r>
          </w:p>
        </w:tc>
        <w:tc>
          <w:tcPr>
            <w:tcW w:w="883" w:type="dxa"/>
          </w:tcPr>
          <w:tcPr/>
          <w:p>
            <w:pPr>
              <w:spacing w:after="0" w:line="240" w:lineRule="auto"/>
              <w:pStyle w:val="Compact"/>
              <w:jc w:val="right"/>
            </w:pPr>
            <w:r>
              <w:rPr>
                <w:sz w:val="20"/>
                <w:szCs w:val="20"/>
              </w:rPr>
              <w:t xml:space="preserve">0.018</w:t>
            </w:r>
          </w:p>
        </w:tc>
        <w:tc>
          <w:tcPr>
            <w:tcW w:w="735" w:type="dxa"/>
          </w:tcPr>
          <w:tcPr/>
          <w:p>
            <w:pPr>
              <w:spacing w:after="0" w:line="240" w:lineRule="auto"/>
              <w:pStyle w:val="Compact"/>
              <w:jc w:val="right"/>
            </w:pPr>
            <w:r>
              <w:rPr>
                <w:sz w:val="20"/>
                <w:szCs w:val="20"/>
              </w:rPr>
              <w:t xml:space="preserve">0.027</w:t>
            </w:r>
          </w:p>
        </w:tc>
        <w:tc>
          <w:tcPr>
            <w:tcW w:w="2713" w:type="dxa"/>
          </w:tcPr>
          <w:tcPr/>
          <w:p>
            <w:pPr>
              <w:spacing w:after="0" w:line="240" w:lineRule="auto"/>
              <w:pStyle w:val="Compact"/>
              <w:jc w:val="right"/>
            </w:pPr>
            <w:r>
              <w:rPr>
                <w:sz w:val="20"/>
                <w:szCs w:val="20"/>
              </w:rPr>
              <w:t xml:space="preserve">0.027 [0.022–0.032]</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School attendance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0.028</w:t>
            </w:r>
          </w:p>
        </w:tc>
        <w:tc>
          <w:tcPr>
            <w:tcW w:w="883" w:type="dxa"/>
          </w:tcPr>
          <w:tcPr/>
          <w:p>
            <w:pPr>
              <w:spacing w:after="0" w:line="240" w:lineRule="auto"/>
              <w:pStyle w:val="Compact"/>
              <w:jc w:val="right"/>
            </w:pPr>
            <w:r>
              <w:rPr>
                <w:sz w:val="20"/>
                <w:szCs w:val="20"/>
              </w:rPr>
              <w:t xml:space="preserve">0.001</w:t>
            </w:r>
          </w:p>
        </w:tc>
        <w:tc>
          <w:tcPr>
            <w:tcW w:w="735" w:type="dxa"/>
          </w:tcPr>
          <w:tcPr/>
          <w:p>
            <w:pPr>
              <w:spacing w:after="0" w:line="240" w:lineRule="auto"/>
              <w:pStyle w:val="Compact"/>
              <w:jc w:val="right"/>
            </w:pPr>
            <w:r>
              <w:rPr>
                <w:sz w:val="20"/>
                <w:szCs w:val="20"/>
              </w:rPr>
              <w:t xml:space="preserve">0.030</w:t>
            </w:r>
          </w:p>
        </w:tc>
        <w:tc>
          <w:tcPr>
            <w:tcW w:w="2713" w:type="dxa"/>
          </w:tcPr>
          <w:tcPr/>
          <w:p>
            <w:pPr>
              <w:spacing w:after="0" w:line="240" w:lineRule="auto"/>
              <w:pStyle w:val="Compact"/>
              <w:jc w:val="right"/>
            </w:pPr>
            <w:r>
              <w:rPr>
                <w:sz w:val="20"/>
                <w:szCs w:val="20"/>
              </w:rPr>
              <w:t xml:space="preserve">0.031 [0.030–0.034]</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Field of study</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0.020</w:t>
            </w:r>
          </w:p>
        </w:tc>
        <w:tc>
          <w:tcPr>
            <w:tcW w:w="883" w:type="dxa"/>
          </w:tcPr>
          <w:tcPr/>
          <w:p>
            <w:pPr>
              <w:spacing w:after="0" w:line="240" w:lineRule="auto"/>
              <w:pStyle w:val="Compact"/>
              <w:jc w:val="right"/>
            </w:pPr>
            <w:r>
              <w:rPr>
                <w:sz w:val="20"/>
                <w:szCs w:val="20"/>
              </w:rPr>
              <w:t xml:space="preserve">0.017</w:t>
            </w:r>
          </w:p>
        </w:tc>
        <w:tc>
          <w:tcPr>
            <w:tcW w:w="735" w:type="dxa"/>
          </w:tcPr>
          <w:tcPr/>
          <w:p>
            <w:pPr>
              <w:spacing w:after="0" w:line="240" w:lineRule="auto"/>
              <w:pStyle w:val="Compact"/>
              <w:jc w:val="right"/>
            </w:pPr>
            <w:r>
              <w:rPr>
                <w:sz w:val="20"/>
                <w:szCs w:val="20"/>
              </w:rPr>
              <w:t xml:space="preserve">0.021</w:t>
            </w:r>
          </w:p>
        </w:tc>
        <w:tc>
          <w:tcPr>
            <w:tcW w:w="2713" w:type="dxa"/>
          </w:tcPr>
          <w:tcPr/>
          <w:p>
            <w:pPr>
              <w:spacing w:after="0" w:line="240" w:lineRule="auto"/>
              <w:pStyle w:val="Compact"/>
              <w:jc w:val="right"/>
            </w:pPr>
            <w:r>
              <w:rPr>
                <w:sz w:val="20"/>
                <w:szCs w:val="20"/>
              </w:rPr>
              <w:t xml:space="preserve">0.021 [0.020–0.022]</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Labour force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0.034</w:t>
            </w:r>
          </w:p>
        </w:tc>
        <w:tc>
          <w:tcPr>
            <w:tcW w:w="883" w:type="dxa"/>
          </w:tcPr>
          <w:tcPr/>
          <w:p>
            <w:pPr>
              <w:spacing w:after="0" w:line="240" w:lineRule="auto"/>
              <w:pStyle w:val="Compact"/>
              <w:jc w:val="right"/>
            </w:pPr>
            <w:r>
              <w:rPr>
                <w:sz w:val="20"/>
                <w:szCs w:val="20"/>
              </w:rPr>
              <w:t xml:space="preserve">0.024</w:t>
            </w:r>
          </w:p>
        </w:tc>
        <w:tc>
          <w:tcPr>
            <w:tcW w:w="735" w:type="dxa"/>
          </w:tcPr>
          <w:tcPr/>
          <w:p>
            <w:pPr>
              <w:spacing w:after="0" w:line="240" w:lineRule="auto"/>
              <w:pStyle w:val="Compact"/>
              <w:jc w:val="right"/>
            </w:pPr>
            <w:r>
              <w:rPr>
                <w:sz w:val="20"/>
                <w:szCs w:val="20"/>
              </w:rPr>
              <w:t xml:space="preserve">0.034</w:t>
            </w:r>
          </w:p>
        </w:tc>
        <w:tc>
          <w:tcPr>
            <w:tcW w:w="2713" w:type="dxa"/>
          </w:tcPr>
          <w:tcPr/>
          <w:p>
            <w:pPr>
              <w:spacing w:after="0" w:line="240" w:lineRule="auto"/>
              <w:pStyle w:val="Compact"/>
              <w:jc w:val="right"/>
            </w:pPr>
            <w:r>
              <w:rPr>
                <w:sz w:val="20"/>
                <w:szCs w:val="20"/>
              </w:rPr>
              <w:t xml:space="preserve">0.036 [0.033–0.038]</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Class of worker</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0.026</w:t>
            </w:r>
          </w:p>
        </w:tc>
        <w:tc>
          <w:tcPr>
            <w:tcW w:w="883" w:type="dxa"/>
          </w:tcPr>
          <w:tcPr/>
          <w:p>
            <w:pPr>
              <w:spacing w:after="0" w:line="240" w:lineRule="auto"/>
              <w:pStyle w:val="Compact"/>
              <w:jc w:val="right"/>
            </w:pPr>
            <w:r>
              <w:rPr>
                <w:sz w:val="20"/>
                <w:szCs w:val="20"/>
              </w:rPr>
              <w:t xml:space="preserve">0.017</w:t>
            </w:r>
          </w:p>
        </w:tc>
        <w:tc>
          <w:tcPr>
            <w:tcW w:w="735" w:type="dxa"/>
          </w:tcPr>
          <w:tcPr/>
          <w:p>
            <w:pPr>
              <w:spacing w:after="0" w:line="240" w:lineRule="auto"/>
              <w:pStyle w:val="Compact"/>
              <w:jc w:val="right"/>
            </w:pPr>
            <w:r>
              <w:rPr>
                <w:sz w:val="20"/>
                <w:szCs w:val="20"/>
              </w:rPr>
              <w:t xml:space="preserve">0.022</w:t>
            </w:r>
          </w:p>
        </w:tc>
        <w:tc>
          <w:tcPr>
            <w:tcW w:w="2713" w:type="dxa"/>
          </w:tcPr>
          <w:tcPr/>
          <w:p>
            <w:pPr>
              <w:spacing w:after="0" w:line="240" w:lineRule="auto"/>
              <w:pStyle w:val="Compact"/>
              <w:jc w:val="right"/>
            </w:pPr>
            <w:r>
              <w:rPr>
                <w:sz w:val="20"/>
                <w:szCs w:val="20"/>
              </w:rPr>
              <w:t xml:space="preserve">0.023 [0.021–0.024]</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Occupation</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0.055</w:t>
            </w:r>
          </w:p>
        </w:tc>
        <w:tc>
          <w:tcPr>
            <w:tcW w:w="883" w:type="dxa"/>
          </w:tcPr>
          <w:tcPr/>
          <w:p>
            <w:pPr>
              <w:spacing w:after="0" w:line="240" w:lineRule="auto"/>
              <w:pStyle w:val="Compact"/>
              <w:jc w:val="right"/>
            </w:pPr>
            <w:r>
              <w:rPr>
                <w:sz w:val="20"/>
                <w:szCs w:val="20"/>
              </w:rPr>
              <w:t xml:space="preserve">0.069</w:t>
            </w:r>
          </w:p>
        </w:tc>
        <w:tc>
          <w:tcPr>
            <w:tcW w:w="735" w:type="dxa"/>
          </w:tcPr>
          <w:tcPr/>
          <w:p>
            <w:pPr>
              <w:spacing w:after="0" w:line="240" w:lineRule="auto"/>
              <w:pStyle w:val="Compact"/>
              <w:jc w:val="right"/>
            </w:pPr>
            <w:r>
              <w:rPr>
                <w:sz w:val="20"/>
                <w:szCs w:val="20"/>
              </w:rPr>
              <w:t xml:space="preserve">0.054</w:t>
            </w:r>
          </w:p>
        </w:tc>
        <w:tc>
          <w:tcPr>
            <w:tcW w:w="2713" w:type="dxa"/>
          </w:tcPr>
          <w:tcPr/>
          <w:p>
            <w:pPr>
              <w:spacing w:after="0" w:line="240" w:lineRule="auto"/>
              <w:pStyle w:val="Compact"/>
              <w:jc w:val="right"/>
            </w:pPr>
            <w:r>
              <w:rPr>
                <w:sz w:val="20"/>
                <w:szCs w:val="20"/>
              </w:rPr>
              <w:t xml:space="preserve">0.055 [0.054–0.055]</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Hours worked</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0.172</w:t>
            </w:r>
          </w:p>
        </w:tc>
        <w:tc>
          <w:tcPr>
            <w:tcW w:w="883" w:type="dxa"/>
          </w:tcPr>
          <w:tcPr/>
          <w:p>
            <w:pPr>
              <w:spacing w:after="0" w:line="240" w:lineRule="auto"/>
              <w:pStyle w:val="Compact"/>
              <w:jc w:val="right"/>
            </w:pPr>
            <w:r>
              <w:rPr>
                <w:sz w:val="20"/>
                <w:szCs w:val="20"/>
              </w:rPr>
              <w:t xml:space="preserve">0.190</w:t>
            </w:r>
          </w:p>
        </w:tc>
        <w:tc>
          <w:tcPr>
            <w:tcW w:w="735" w:type="dxa"/>
          </w:tcPr>
          <w:tcPr/>
          <w:p>
            <w:pPr>
              <w:spacing w:after="0" w:line="240" w:lineRule="auto"/>
              <w:pStyle w:val="Compact"/>
              <w:jc w:val="right"/>
            </w:pPr>
            <w:r>
              <w:rPr>
                <w:sz w:val="20"/>
                <w:szCs w:val="20"/>
              </w:rPr>
              <w:t xml:space="preserve">0.173</w:t>
            </w:r>
          </w:p>
        </w:tc>
        <w:tc>
          <w:tcPr>
            <w:tcW w:w="2713" w:type="dxa"/>
          </w:tcPr>
          <w:tcPr/>
          <w:p>
            <w:pPr>
              <w:spacing w:after="0" w:line="240" w:lineRule="auto"/>
              <w:pStyle w:val="Compact"/>
              <w:jc w:val="right"/>
            </w:pPr>
            <w:r>
              <w:rPr>
                <w:sz w:val="20"/>
                <w:szCs w:val="20"/>
              </w:rPr>
              <w:t xml:space="preserve">0.173 [0.171–0.174]</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Place of work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0.171</w:t>
            </w:r>
          </w:p>
        </w:tc>
        <w:tc>
          <w:tcPr>
            <w:tcW w:w="883" w:type="dxa"/>
          </w:tcPr>
          <w:tcPr/>
          <w:p>
            <w:pPr>
              <w:spacing w:after="0" w:line="240" w:lineRule="auto"/>
              <w:pStyle w:val="Compact"/>
              <w:jc w:val="right"/>
            </w:pPr>
            <w:r>
              <w:rPr>
                <w:sz w:val="20"/>
                <w:szCs w:val="20"/>
              </w:rPr>
              <w:t xml:space="preserve">0.141</w:t>
            </w:r>
          </w:p>
        </w:tc>
        <w:tc>
          <w:tcPr>
            <w:tcW w:w="735" w:type="dxa"/>
          </w:tcPr>
          <w:tcPr/>
          <w:p>
            <w:pPr>
              <w:spacing w:after="0" w:line="240" w:lineRule="auto"/>
              <w:pStyle w:val="Compact"/>
              <w:jc w:val="right"/>
            </w:pPr>
            <w:r>
              <w:rPr>
                <w:sz w:val="20"/>
                <w:szCs w:val="20"/>
              </w:rPr>
              <w:t xml:space="preserve">0.168</w:t>
            </w:r>
          </w:p>
        </w:tc>
        <w:tc>
          <w:tcPr>
            <w:tcW w:w="2713" w:type="dxa"/>
          </w:tcPr>
          <w:tcPr/>
          <w:p>
            <w:pPr>
              <w:spacing w:after="0" w:line="240" w:lineRule="auto"/>
              <w:pStyle w:val="Compact"/>
              <w:jc w:val="right"/>
            </w:pPr>
            <w:r>
              <w:rPr>
                <w:sz w:val="20"/>
                <w:szCs w:val="20"/>
              </w:rPr>
              <w:t xml:space="preserve">0.168 [0.167–0.170]</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Commuting mode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0.170</w:t>
            </w:r>
          </w:p>
        </w:tc>
        <w:tc>
          <w:tcPr>
            <w:tcW w:w="883" w:type="dxa"/>
          </w:tcPr>
          <w:tcPr/>
          <w:p>
            <w:pPr>
              <w:spacing w:after="0" w:line="240" w:lineRule="auto"/>
              <w:pStyle w:val="Compact"/>
              <w:jc w:val="right"/>
            </w:pPr>
            <w:r>
              <w:rPr>
                <w:sz w:val="20"/>
                <w:szCs w:val="20"/>
              </w:rPr>
              <w:t xml:space="preserve">0.141</w:t>
            </w:r>
          </w:p>
        </w:tc>
        <w:tc>
          <w:tcPr>
            <w:tcW w:w="735" w:type="dxa"/>
          </w:tcPr>
          <w:tcPr/>
          <w:p>
            <w:pPr>
              <w:spacing w:after="0" w:line="240" w:lineRule="auto"/>
              <w:pStyle w:val="Compact"/>
              <w:jc w:val="right"/>
            </w:pPr>
            <w:r>
              <w:rPr>
                <w:sz w:val="20"/>
                <w:szCs w:val="20"/>
              </w:rPr>
              <w:t xml:space="preserve">0.167</w:t>
            </w:r>
          </w:p>
        </w:tc>
        <w:tc>
          <w:tcPr>
            <w:tcW w:w="2713" w:type="dxa"/>
          </w:tcPr>
          <w:tcPr/>
          <w:p>
            <w:pPr>
              <w:spacing w:after="0" w:line="240" w:lineRule="auto"/>
              <w:pStyle w:val="Compact"/>
              <w:jc w:val="right"/>
            </w:pPr>
            <w:r>
              <w:rPr>
                <w:sz w:val="20"/>
                <w:szCs w:val="20"/>
              </w:rPr>
              <w:t xml:space="preserve">0.167 [0.166–0.169]</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Employment income</w:t>
            </w:r>
          </w:p>
        </w:tc>
        <w:tc>
          <w:tcPr>
            <w:tcW w:w="883" w:type="dxa"/>
          </w:tcPr>
          <w:tcPr/>
          <w:p>
            <w:pPr>
              <w:spacing w:after="0" w:line="240" w:lineRule="auto"/>
              <w:pStyle w:val="Compact"/>
              <w:jc w:val="left"/>
            </w:pPr>
            <w:r>
              <w:rPr>
                <w:sz w:val="20"/>
                <w:szCs w:val="20"/>
              </w:rPr>
              <w:t xml:space="preserve">W1</w:t>
            </w:r>
          </w:p>
        </w:tc>
        <w:tc>
          <w:tcPr>
            <w:tcW w:w="1030" w:type="dxa"/>
          </w:tcPr>
          <w:tcPr/>
          <w:p>
            <w:pPr>
              <w:spacing w:after="0" w:line="240" w:lineRule="auto"/>
              <w:pStyle w:val="Compact"/>
              <w:jc w:val="right"/>
            </w:pPr>
            <w:r>
              <w:rPr>
                <w:sz w:val="20"/>
                <w:szCs w:val="20"/>
              </w:rPr>
              <w:t xml:space="preserve">0.003</w:t>
            </w:r>
          </w:p>
        </w:tc>
        <w:tc>
          <w:tcPr>
            <w:tcW w:w="883" w:type="dxa"/>
          </w:tcPr>
          <w:tcPr/>
          <w:p>
            <w:pPr>
              <w:spacing w:after="0" w:line="240" w:lineRule="auto"/>
              <w:pStyle w:val="Compact"/>
              <w:jc w:val="right"/>
            </w:pPr>
            <w:r>
              <w:rPr>
                <w:sz w:val="20"/>
                <w:szCs w:val="20"/>
              </w:rPr>
              <w:t xml:space="preserve">0.003</w:t>
            </w:r>
          </w:p>
        </w:tc>
        <w:tc>
          <w:tcPr>
            <w:tcW w:w="735" w:type="dxa"/>
          </w:tcPr>
          <w:tcPr/>
          <w:p>
            <w:pPr>
              <w:spacing w:after="0" w:line="240" w:lineRule="auto"/>
              <w:pStyle w:val="Compact"/>
              <w:jc w:val="right"/>
            </w:pPr>
            <w:r>
              <w:rPr>
                <w:sz w:val="20"/>
                <w:szCs w:val="20"/>
              </w:rPr>
              <w:t xml:space="preserve">0.005</w:t>
            </w:r>
          </w:p>
        </w:tc>
        <w:tc>
          <w:tcPr>
            <w:tcW w:w="2713" w:type="dxa"/>
          </w:tcPr>
          <w:tcPr/>
          <w:p>
            <w:pPr>
              <w:spacing w:after="0" w:line="240" w:lineRule="auto"/>
              <w:pStyle w:val="Compact"/>
              <w:jc w:val="right"/>
            </w:pPr>
            <w:r>
              <w:rPr>
                <w:sz w:val="20"/>
                <w:szCs w:val="20"/>
              </w:rPr>
              <w:t xml:space="preserve">0.005 [0.005–0.006]</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Total income</w:t>
            </w:r>
          </w:p>
        </w:tc>
        <w:tc>
          <w:tcPr>
            <w:tcW w:w="883" w:type="dxa"/>
          </w:tcPr>
          <w:tcPr/>
          <w:p>
            <w:pPr>
              <w:spacing w:after="0" w:line="240" w:lineRule="auto"/>
              <w:pStyle w:val="Compact"/>
              <w:jc w:val="left"/>
            </w:pPr>
            <w:r>
              <w:rPr>
                <w:sz w:val="20"/>
                <w:szCs w:val="20"/>
              </w:rPr>
              <w:t xml:space="preserve">W1</w:t>
            </w:r>
          </w:p>
        </w:tc>
        <w:tc>
          <w:tcPr>
            <w:tcW w:w="1030" w:type="dxa"/>
          </w:tcPr>
          <w:tcPr/>
          <w:p>
            <w:pPr>
              <w:spacing w:after="0" w:line="240" w:lineRule="auto"/>
              <w:pStyle w:val="Compact"/>
              <w:jc w:val="right"/>
            </w:pPr>
            <w:r>
              <w:rPr>
                <w:sz w:val="20"/>
                <w:szCs w:val="20"/>
              </w:rPr>
              <w:t xml:space="preserve">0.006</w:t>
            </w:r>
          </w:p>
        </w:tc>
        <w:tc>
          <w:tcPr>
            <w:tcW w:w="883" w:type="dxa"/>
          </w:tcPr>
          <w:tcPr/>
          <w:p>
            <w:pPr>
              <w:spacing w:after="0" w:line="240" w:lineRule="auto"/>
              <w:pStyle w:val="Compact"/>
              <w:jc w:val="right"/>
            </w:pPr>
            <w:r>
              <w:rPr>
                <w:sz w:val="20"/>
                <w:szCs w:val="20"/>
              </w:rPr>
              <w:t xml:space="preserve">0.003</w:t>
            </w:r>
          </w:p>
        </w:tc>
        <w:tc>
          <w:tcPr>
            <w:tcW w:w="735" w:type="dxa"/>
          </w:tcPr>
          <w:tcPr/>
          <w:p>
            <w:pPr>
              <w:spacing w:after="0" w:line="240" w:lineRule="auto"/>
              <w:pStyle w:val="Compact"/>
              <w:jc w:val="right"/>
            </w:pPr>
            <w:r>
              <w:rPr>
                <w:sz w:val="20"/>
                <w:szCs w:val="20"/>
              </w:rPr>
              <w:t xml:space="preserve">0.008</w:t>
            </w:r>
          </w:p>
        </w:tc>
        <w:tc>
          <w:tcPr>
            <w:tcW w:w="2713" w:type="dxa"/>
          </w:tcPr>
          <w:tcPr/>
          <w:p>
            <w:pPr>
              <w:spacing w:after="0" w:line="240" w:lineRule="auto"/>
              <w:pStyle w:val="Compact"/>
              <w:jc w:val="right"/>
            </w:pPr>
            <w:r>
              <w:rPr>
                <w:sz w:val="20"/>
                <w:szCs w:val="20"/>
              </w:rPr>
              <w:t xml:space="preserve">0.008 [0.007–0.009]</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Income after tax</w:t>
            </w:r>
          </w:p>
        </w:tc>
        <w:tc>
          <w:tcPr>
            <w:tcW w:w="883" w:type="dxa"/>
          </w:tcPr>
          <w:tcPr/>
          <w:p>
            <w:pPr>
              <w:spacing w:after="0" w:line="240" w:lineRule="auto"/>
              <w:pStyle w:val="Compact"/>
              <w:jc w:val="left"/>
            </w:pPr>
            <w:r>
              <w:rPr>
                <w:sz w:val="20"/>
                <w:szCs w:val="20"/>
              </w:rPr>
              <w:t xml:space="preserve">W1</w:t>
            </w:r>
          </w:p>
        </w:tc>
        <w:tc>
          <w:tcPr>
            <w:tcW w:w="1030" w:type="dxa"/>
          </w:tcPr>
          <w:tcPr/>
          <w:p>
            <w:pPr>
              <w:spacing w:after="0" w:line="240" w:lineRule="auto"/>
              <w:pStyle w:val="Compact"/>
              <w:jc w:val="right"/>
            </w:pPr>
            <w:r>
              <w:rPr>
                <w:sz w:val="20"/>
                <w:szCs w:val="20"/>
              </w:rPr>
              <w:t xml:space="preserve">0.002</w:t>
            </w:r>
          </w:p>
        </w:tc>
        <w:tc>
          <w:tcPr>
            <w:tcW w:w="883" w:type="dxa"/>
          </w:tcPr>
          <w:tcPr/>
          <w:p>
            <w:pPr>
              <w:spacing w:after="0" w:line="240" w:lineRule="auto"/>
              <w:pStyle w:val="Compact"/>
              <w:jc w:val="right"/>
            </w:pPr>
            <w:r>
              <w:rPr>
                <w:sz w:val="20"/>
                <w:szCs w:val="20"/>
              </w:rPr>
              <w:t xml:space="preserve">0.003</w:t>
            </w:r>
          </w:p>
        </w:tc>
        <w:tc>
          <w:tcPr>
            <w:tcW w:w="735" w:type="dxa"/>
          </w:tcPr>
          <w:tcPr/>
          <w:p>
            <w:pPr>
              <w:spacing w:after="0" w:line="240" w:lineRule="auto"/>
              <w:pStyle w:val="Compact"/>
              <w:jc w:val="right"/>
            </w:pPr>
            <w:r>
              <w:rPr>
                <w:sz w:val="20"/>
                <w:szCs w:val="20"/>
              </w:rPr>
              <w:t xml:space="preserve">0.003</w:t>
            </w:r>
          </w:p>
        </w:tc>
        <w:tc>
          <w:tcPr>
            <w:tcW w:w="2713" w:type="dxa"/>
          </w:tcPr>
          <w:tcPr/>
          <w:p>
            <w:pPr>
              <w:spacing w:after="0" w:line="240" w:lineRule="auto"/>
              <w:pStyle w:val="Compact"/>
              <w:jc w:val="right"/>
            </w:pPr>
            <w:r>
              <w:rPr>
                <w:sz w:val="20"/>
                <w:szCs w:val="20"/>
              </w:rPr>
              <w:t xml:space="preserve">0.003 [0.003–0.003]</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Mean over the 24 variables</w:t>
            </w:r>
          </w:p>
        </w:tc>
        <w:tc>
          <w:tcPr>
            <w:tcW w:w="883" w:type="dxa"/>
          </w:tcPr>
          <w:tcPr/>
          <w:p>
            <w:pPr>
              <w:spacing w:after="0" w:line="240" w:lineRule="auto"/>
              <w:pStyle w:val="Compact"/>
            </w:pPr>
          </w:p>
        </w:tc>
        <w:tc>
          <w:tcPr>
            <w:tcW w:w="1030" w:type="dxa"/>
          </w:tcPr>
          <w:tcPr/>
          <w:p>
            <w:pPr>
              <w:spacing w:after="0" w:line="240" w:lineRule="auto"/>
              <w:pStyle w:val="Compact"/>
              <w:jc w:val="right"/>
            </w:pPr>
            <w:r>
              <w:rPr>
                <w:sz w:val="20"/>
                <w:szCs w:val="20"/>
              </w:rPr>
              <w:t xml:space="preserve">0.037</w:t>
            </w:r>
          </w:p>
        </w:tc>
        <w:tc>
          <w:tcPr>
            <w:tcW w:w="883" w:type="dxa"/>
          </w:tcPr>
          <w:tcPr/>
          <w:p>
            <w:pPr>
              <w:spacing w:after="0" w:line="240" w:lineRule="auto"/>
              <w:pStyle w:val="Compact"/>
              <w:jc w:val="right"/>
            </w:pPr>
            <w:r>
              <w:rPr>
                <w:sz w:val="20"/>
                <w:szCs w:val="20"/>
              </w:rPr>
              <w:t xml:space="preserve">0.041</w:t>
            </w:r>
          </w:p>
        </w:tc>
        <w:tc>
          <w:tcPr>
            <w:tcW w:w="735" w:type="dxa"/>
          </w:tcPr>
          <w:tcPr/>
          <w:p>
            <w:pPr>
              <w:spacing w:after="0" w:line="240" w:lineRule="auto"/>
              <w:pStyle w:val="Compact"/>
              <w:jc w:val="right"/>
            </w:pPr>
            <w:r>
              <w:rPr>
                <w:sz w:val="20"/>
                <w:szCs w:val="20"/>
              </w:rPr>
              <w:t xml:space="preserve">0.039</w:t>
            </w:r>
          </w:p>
        </w:tc>
        <w:tc>
          <w:tcPr>
            <w:tcW w:w="2713" w:type="dxa"/>
          </w:tcPr>
          <w:tcPr/>
          <w:p>
            <w:pPr>
              <w:spacing w:after="0" w:line="240" w:lineRule="auto"/>
              <w:pStyle w:val="Compact"/>
              <w:jc w:val="right"/>
            </w:pPr>
            <w:r>
              <w:rPr>
                <w:sz w:val="20"/>
                <w:szCs w:val="20"/>
              </w:rPr>
              <w:t xml:space="preserve">0.040</w:t>
            </w:r>
          </w:p>
        </w:tc>
        <w:tc>
          <w:tcPr>
            <w:tcW w:w="885" w:type="dxa"/>
          </w:tcPr>
          <w:tcPr/>
          <w:p>
            <w:pPr>
              <w:spacing w:after="0" w:line="240" w:lineRule="auto"/>
              <w:pStyle w:val="Compact"/>
              <w:jc w:val="left"/>
            </w:pPr>
            <w:r>
              <w:rPr>
                <w:sz w:val="20"/>
                <w:szCs w:val="20"/>
              </w:rPr>
              <w:t xml:space="preserve">CBVM closer on 7 of 24</w:t>
            </w:r>
          </w:p>
        </w:tc>
      </w:tr>
    </w:tbl>
    <w:bookmarkEnd w:id="92"/>
    <w:bookmarkStart w:id="96" w:name="X69518ebcf1ddc0d80f4f7e07c4a89a5d3caeee8"/>
    <w:p>
      <w:pPr>
        <w:pStyle w:val="Heading2"/>
      </w:pPr>
      <w:r>
        <w:t xml:space="preserve">4.3 Energy consequences of the occupancy schedules (demonstration)</w:t>
      </w:r>
    </w:p>
    <w:p>
      <w:pPr>
        <w:pStyle w:val="FirstParagraph"/>
      </w:pPr>
      <w:r>
        <w:t xml:space="preserve">The simulations ask one question: are the occupancy differences between cycles, and the projected cohort, large enough to change simulated energy use in fixed buildings? Annual end-use energy was read from the annual summary report of each EnergyPlus run and divided by the net conditioned floor area; interior equipment and lighting energy agree with the hourly meters to within 0.02 %. The stopping rule reached its 30-draw limit with 31 of the 60 heating and cooling intervals within ±1 % of their means; the other 29 reached half-widths of 1.0 to 4.7 % of their means (median of all 60: 0.9 %). The target was therefore not met in every cell, and all results below are reported with the intervals actually achieved.</w:t>
      </w:r>
    </w:p>
    <w:p>
      <w:pPr>
        <w:pStyle w:val="BodyText"/>
      </w:pPr>
      <w:r>
        <w:t xml:space="preserve">Figure 10 and Table 10 give the deviation of each scenario from the Default. In the three house neighbourhoods, the survey-based schedules raise heating by 6.2 to 16.4 % and lower cooling by 1.0 to 9.0 %. In the three apartment neighbourhoods the same schedules raise heating by only 0.3 to 1.5 % and lower cooling by 1.1 to 6.5 %. The heating response is small in the apartment buildings because their heating intensity is much higher (Default 78 to 100 kWh/m², against 6 to 13 kWh/m² in the house NUs), so the same change in internal gains is a small share of the heat balance. All 30 heating deviations and 29 of the 30 cooling deviations have intervals that exclude zero; the exception is the 2022 cooling deviation of RC-R. Equipment (−1.9 to −5.8 %), DHW (0 to −14.5 %) and lighting (−8.0 to −18.9 %) are also lower than in the Default, because the Default schedule assumes more hours at home.</w:t>
      </w:r>
    </w:p>
    <w:p>
      <w:pPr>
        <w:pStyle w:val="BodyText"/>
        <w:keepNext/>
        <w:jc w:val="center"/>
      </w:pPr>
      <w:r>
        <w:drawing>
          <wp:inline>
            <wp:extent cx="5334000" cy="3491345"/>
            <wp:effectExtent b="0" l="0" r="0" t="0"/>
            <wp:docPr descr="" title="" id="94" name="Picture"/>
            <a:graphic>
              <a:graphicData uri="http://schemas.openxmlformats.org/drawingml/2006/picture">
                <pic:pic>
                  <pic:nvPicPr>
                    <pic:cNvPr descr="../figures/Fig15_annual_deviation_R1.png" id="95" name="Picture"/>
                    <pic:cNvPicPr>
                      <a:picLocks noChangeArrowheads="1" noChangeAspect="1"/>
                    </pic:cNvPicPr>
                  </pic:nvPicPr>
                  <pic:blipFill>
                    <a:blip r:embed="rId93"/>
                    <a:stretch>
                      <a:fillRect/>
                    </a:stretch>
                  </pic:blipFill>
                  <pic:spPr bwMode="auto">
                    <a:xfrm>
                      <a:off x="0" y="0"/>
                      <a:ext cx="5334000" cy="3491345"/>
                    </a:xfrm>
                    <a:prstGeom prst="rect">
                      <a:avLst/>
                    </a:prstGeom>
                    <a:noFill/>
                    <a:ln w="9525">
                      <a:noFill/>
                      <a:headEnd/>
                      <a:tailEnd/>
                    </a:ln>
                  </pic:spPr>
                </pic:pic>
              </a:graphicData>
            </a:graphic>
          </wp:inline>
        </w:drawing>
      </w:r>
    </w:p>
    <w:p>
      <w:pPr>
        <w:pStyle w:val="BodyText"/>
      </w:pPr>
      <w:r>
        <w:t xml:space="preserve">Figure 10. Deviation of annual end-use energy from the Default schedules, by neighbourhood unit and scenario year: (a) heating, (b) cooling, (c) electric equipment, (d) domestic hot water. Bars are means over 30 draws; error bars are 95 % confidence intervals. RC-R, RC-D and RC-T are house neighbourhoods; RC-MR2, RC-MR3 and RC-HR2 are apartment neighbourhoods.</w:t>
      </w:r>
    </w:p>
    <w:p>
      <w:pPr>
        <w:pStyle w:val="BodyText"/>
      </w:pPr>
      <w:r>
        <w:t xml:space="preserve">Table 10. Deviation of annual heating and cooling from the Default (%), mean over 30 draws with 95 % confidence interval in brackets. Default values in kWh/m² of net conditioned floor area.</w:t>
      </w:r>
    </w:p>
    <w:tbl>
      <w:tblPr>
        <w:tblStyle w:val="Table"/>
        <w:tblW w:type="pct" w:w="5000"/>
        <w:tblLayout w:type="fixed"/>
        <w:tblCellMar>
          <w:left w:w="72" w:type="dxa"/>
          <w:right w:w="72" w:type="dxa"/>
        </w:tblCellMar>
        <w:tblLook w:firstRow="1" w:lastRow="0" w:firstColumn="0" w:lastColumn="0" w:noHBand="0" w:noVBand="0" w:val="0020"/>
      </w:tblPr>
      <w:tblGrid>
        <w:gridCol w:w="429"/>
        <w:gridCol w:w="809"/>
        <w:gridCol w:w="809"/>
        <w:gridCol w:w="1470"/>
        <w:gridCol w:w="1463"/>
        <w:gridCol w:w="1477"/>
        <w:gridCol w:w="1422"/>
        <w:gridCol w:w="1481"/>
      </w:tblGrid>
      <w:tr>
        <w:trPr>
          <w:tblHeader w:val="on"/>
        </w:trPr>
        <w:tc>
          <w:tcPr>
            <w:tcW w:w="429" w:type="dxa"/>
          </w:tcPr>
          <w:tcPr/>
          <w:p>
            <w:pPr>
              <w:spacing w:after="0" w:line="240" w:lineRule="auto"/>
              <w:pStyle w:val="Compact"/>
              <w:jc w:val="left"/>
            </w:pPr>
            <w:r>
              <w:rPr>
                <w:sz w:val="20"/>
                <w:szCs w:val="20"/>
              </w:rPr>
              <w:t xml:space="preserve">NU</w:t>
            </w:r>
          </w:p>
        </w:tc>
        <w:tc>
          <w:tcPr>
            <w:tcW w:w="809" w:type="dxa"/>
          </w:tcPr>
          <w:tcPr/>
          <w:p>
            <w:pPr>
              <w:spacing w:after="0" w:line="240" w:lineRule="auto"/>
              <w:pStyle w:val="Compact"/>
              <w:jc w:val="left"/>
            </w:pPr>
            <w:r>
              <w:rPr>
                <w:sz w:val="20"/>
                <w:szCs w:val="20"/>
              </w:rPr>
              <w:t xml:space="preserve">End use</w:t>
            </w:r>
          </w:p>
        </w:tc>
        <w:tc>
          <w:tcPr>
            <w:tcW w:w="809" w:type="dxa"/>
          </w:tcPr>
          <w:tcPr/>
          <w:p>
            <w:pPr>
              <w:spacing w:after="0" w:line="240" w:lineRule="auto"/>
              <w:pStyle w:val="Compact"/>
              <w:jc w:val="right"/>
            </w:pPr>
            <w:r>
              <w:rPr>
                <w:sz w:val="20"/>
                <w:szCs w:val="20"/>
              </w:rPr>
              <w:t xml:space="preserve">Default (kWh/m²)</w:t>
            </w:r>
          </w:p>
        </w:tc>
        <w:tc>
          <w:tcPr>
            <w:tcW w:w="1470" w:type="dxa"/>
          </w:tcPr>
          <w:tcPr/>
          <w:p>
            <w:pPr>
              <w:spacing w:after="0" w:line="240" w:lineRule="auto"/>
              <w:pStyle w:val="Compact"/>
              <w:jc w:val="right"/>
            </w:pPr>
            <w:r>
              <w:rPr>
                <w:sz w:val="20"/>
                <w:szCs w:val="20"/>
              </w:rPr>
              <w:t xml:space="preserve">2005</w:t>
            </w:r>
          </w:p>
        </w:tc>
        <w:tc>
          <w:tcPr>
            <w:tcW w:w="1463" w:type="dxa"/>
          </w:tcPr>
          <w:tcPr/>
          <w:p>
            <w:pPr>
              <w:spacing w:after="0" w:line="240" w:lineRule="auto"/>
              <w:pStyle w:val="Compact"/>
              <w:jc w:val="right"/>
            </w:pPr>
            <w:r>
              <w:rPr>
                <w:sz w:val="20"/>
                <w:szCs w:val="20"/>
              </w:rPr>
              <w:t xml:space="preserve">2010</w:t>
            </w:r>
          </w:p>
        </w:tc>
        <w:tc>
          <w:tcPr>
            <w:tcW w:w="1477" w:type="dxa"/>
          </w:tcPr>
          <w:tcPr/>
          <w:p>
            <w:pPr>
              <w:spacing w:after="0" w:line="240" w:lineRule="auto"/>
              <w:pStyle w:val="Compact"/>
              <w:jc w:val="right"/>
            </w:pPr>
            <w:r>
              <w:rPr>
                <w:sz w:val="20"/>
                <w:szCs w:val="20"/>
              </w:rPr>
              <w:t xml:space="preserve">2015</w:t>
            </w:r>
          </w:p>
        </w:tc>
        <w:tc>
          <w:tcPr>
            <w:tcW w:w="1422" w:type="dxa"/>
          </w:tcPr>
          <w:tcPr/>
          <w:p>
            <w:pPr>
              <w:spacing w:after="0" w:line="240" w:lineRule="auto"/>
              <w:pStyle w:val="Compact"/>
              <w:jc w:val="right"/>
            </w:pPr>
            <w:r>
              <w:rPr>
                <w:sz w:val="20"/>
                <w:szCs w:val="20"/>
              </w:rPr>
              <w:t xml:space="preserve">2022</w:t>
            </w:r>
          </w:p>
        </w:tc>
        <w:tc>
          <w:tcPr>
            <w:tcW w:w="1481" w:type="dxa"/>
          </w:tcPr>
          <w:tcPr/>
          <w:p>
            <w:pPr>
              <w:spacing w:after="0" w:line="240" w:lineRule="auto"/>
              <w:pStyle w:val="Compact"/>
              <w:jc w:val="right"/>
            </w:pPr>
            <w:r>
              <w:rPr>
                <w:sz w:val="20"/>
                <w:szCs w:val="20"/>
              </w:rPr>
              <w:t xml:space="preserve">2025</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9.8</w:t>
            </w:r>
          </w:p>
        </w:tc>
        <w:tc>
          <w:tcPr>
            <w:tcW w:w="1470" w:type="dxa"/>
          </w:tcPr>
          <w:tcPr/>
          <w:p>
            <w:pPr>
              <w:spacing w:after="0" w:line="240" w:lineRule="auto"/>
              <w:pStyle w:val="Compact"/>
              <w:jc w:val="right"/>
            </w:pPr>
            <w:r>
              <w:rPr>
                <w:sz w:val="20"/>
                <w:szCs w:val="20"/>
              </w:rPr>
              <w:t xml:space="preserve">+14.5 (+10.4, +18.5)</w:t>
            </w:r>
          </w:p>
        </w:tc>
        <w:tc>
          <w:tcPr>
            <w:tcW w:w="1463" w:type="dxa"/>
          </w:tcPr>
          <w:tcPr/>
          <w:p>
            <w:pPr>
              <w:spacing w:after="0" w:line="240" w:lineRule="auto"/>
              <w:pStyle w:val="Compact"/>
              <w:jc w:val="right"/>
            </w:pPr>
            <w:r>
              <w:rPr>
                <w:sz w:val="20"/>
                <w:szCs w:val="20"/>
              </w:rPr>
              <w:t xml:space="preserve">+13.6 (+9.2, +18.1)</w:t>
            </w:r>
          </w:p>
        </w:tc>
        <w:tc>
          <w:tcPr>
            <w:tcW w:w="1477" w:type="dxa"/>
          </w:tcPr>
          <w:tcPr/>
          <w:p>
            <w:pPr>
              <w:spacing w:after="0" w:line="240" w:lineRule="auto"/>
              <w:pStyle w:val="Compact"/>
              <w:jc w:val="right"/>
            </w:pPr>
            <w:r>
              <w:rPr>
                <w:sz w:val="20"/>
                <w:szCs w:val="20"/>
              </w:rPr>
              <w:t xml:space="preserve">+13.2 (+8.5, +17.9)</w:t>
            </w:r>
          </w:p>
        </w:tc>
        <w:tc>
          <w:tcPr>
            <w:tcW w:w="1422" w:type="dxa"/>
          </w:tcPr>
          <w:tcPr/>
          <w:p>
            <w:pPr>
              <w:spacing w:after="0" w:line="240" w:lineRule="auto"/>
              <w:pStyle w:val="Compact"/>
              <w:jc w:val="right"/>
            </w:pPr>
            <w:r>
              <w:rPr>
                <w:sz w:val="20"/>
                <w:szCs w:val="20"/>
              </w:rPr>
              <w:t xml:space="preserve">+7.0 (+2.0, +12.0)</w:t>
            </w:r>
          </w:p>
        </w:tc>
        <w:tc>
          <w:tcPr>
            <w:tcW w:w="1481" w:type="dxa"/>
          </w:tcPr>
          <w:tcPr/>
          <w:p>
            <w:pPr>
              <w:spacing w:after="0" w:line="240" w:lineRule="auto"/>
              <w:pStyle w:val="Compact"/>
              <w:jc w:val="right"/>
            </w:pPr>
            <w:r>
              <w:rPr>
                <w:sz w:val="20"/>
                <w:szCs w:val="20"/>
              </w:rPr>
              <w:t xml:space="preserve">+13.7 (+8.7, +18.8)</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27.0</w:t>
            </w:r>
          </w:p>
        </w:tc>
        <w:tc>
          <w:tcPr>
            <w:tcW w:w="1470" w:type="dxa"/>
          </w:tcPr>
          <w:tcPr/>
          <w:p>
            <w:pPr>
              <w:spacing w:after="0" w:line="240" w:lineRule="auto"/>
              <w:pStyle w:val="Compact"/>
              <w:jc w:val="right"/>
            </w:pPr>
            <w:r>
              <w:rPr>
                <w:sz w:val="20"/>
                <w:szCs w:val="20"/>
              </w:rPr>
              <w:t xml:space="preserve">-9.0 (-11.3, -6.7)</w:t>
            </w:r>
          </w:p>
        </w:tc>
        <w:tc>
          <w:tcPr>
            <w:tcW w:w="1463" w:type="dxa"/>
          </w:tcPr>
          <w:tcPr/>
          <w:p>
            <w:pPr>
              <w:spacing w:after="0" w:line="240" w:lineRule="auto"/>
              <w:pStyle w:val="Compact"/>
              <w:jc w:val="right"/>
            </w:pPr>
            <w:r>
              <w:rPr>
                <w:sz w:val="20"/>
                <w:szCs w:val="20"/>
              </w:rPr>
              <w:t xml:space="preserve">-7.4 (-10.0, -4.7)</w:t>
            </w:r>
          </w:p>
        </w:tc>
        <w:tc>
          <w:tcPr>
            <w:tcW w:w="1477" w:type="dxa"/>
          </w:tcPr>
          <w:tcPr/>
          <w:p>
            <w:pPr>
              <w:spacing w:after="0" w:line="240" w:lineRule="auto"/>
              <w:pStyle w:val="Compact"/>
              <w:jc w:val="right"/>
            </w:pPr>
            <w:r>
              <w:rPr>
                <w:sz w:val="20"/>
                <w:szCs w:val="20"/>
              </w:rPr>
              <w:t xml:space="preserve">-7.7 (-10.7, -4.7)</w:t>
            </w:r>
          </w:p>
        </w:tc>
        <w:tc>
          <w:tcPr>
            <w:tcW w:w="1422" w:type="dxa"/>
          </w:tcPr>
          <w:tcPr/>
          <w:p>
            <w:pPr>
              <w:spacing w:after="0" w:line="240" w:lineRule="auto"/>
              <w:pStyle w:val="Compact"/>
              <w:jc w:val="right"/>
            </w:pPr>
            <w:r>
              <w:rPr>
                <w:sz w:val="20"/>
                <w:szCs w:val="20"/>
              </w:rPr>
              <w:t xml:space="preserve">-2.0 (-5.8, +1.9)</w:t>
            </w:r>
          </w:p>
        </w:tc>
        <w:tc>
          <w:tcPr>
            <w:tcW w:w="1481" w:type="dxa"/>
          </w:tcPr>
          <w:tcPr/>
          <w:p>
            <w:pPr>
              <w:spacing w:after="0" w:line="240" w:lineRule="auto"/>
              <w:pStyle w:val="Compact"/>
              <w:jc w:val="right"/>
            </w:pPr>
            <w:r>
              <w:rPr>
                <w:sz w:val="20"/>
                <w:szCs w:val="20"/>
              </w:rPr>
              <w:t xml:space="preserve">-6.8 (-10.0, -3.5)</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13.0</w:t>
            </w:r>
          </w:p>
        </w:tc>
        <w:tc>
          <w:tcPr>
            <w:tcW w:w="1470" w:type="dxa"/>
          </w:tcPr>
          <w:tcPr/>
          <w:p>
            <w:pPr>
              <w:spacing w:after="0" w:line="240" w:lineRule="auto"/>
              <w:pStyle w:val="Compact"/>
              <w:jc w:val="right"/>
            </w:pPr>
            <w:r>
              <w:rPr>
                <w:sz w:val="20"/>
                <w:szCs w:val="20"/>
              </w:rPr>
              <w:t xml:space="preserve">+9.8 (+7.0, +12.5)</w:t>
            </w:r>
          </w:p>
        </w:tc>
        <w:tc>
          <w:tcPr>
            <w:tcW w:w="1463" w:type="dxa"/>
          </w:tcPr>
          <w:tcPr/>
          <w:p>
            <w:pPr>
              <w:spacing w:after="0" w:line="240" w:lineRule="auto"/>
              <w:pStyle w:val="Compact"/>
              <w:jc w:val="right"/>
            </w:pPr>
            <w:r>
              <w:rPr>
                <w:sz w:val="20"/>
                <w:szCs w:val="20"/>
              </w:rPr>
              <w:t xml:space="preserve">+9.4 (+5.6, +13.2)</w:t>
            </w:r>
          </w:p>
        </w:tc>
        <w:tc>
          <w:tcPr>
            <w:tcW w:w="1477" w:type="dxa"/>
          </w:tcPr>
          <w:tcPr/>
          <w:p>
            <w:pPr>
              <w:spacing w:after="0" w:line="240" w:lineRule="auto"/>
              <w:pStyle w:val="Compact"/>
              <w:jc w:val="right"/>
            </w:pPr>
            <w:r>
              <w:rPr>
                <w:sz w:val="20"/>
                <w:szCs w:val="20"/>
              </w:rPr>
              <w:t xml:space="preserve">+10.5 (+5.8, +15.2)</w:t>
            </w:r>
          </w:p>
        </w:tc>
        <w:tc>
          <w:tcPr>
            <w:tcW w:w="1422" w:type="dxa"/>
          </w:tcPr>
          <w:tcPr/>
          <w:p>
            <w:pPr>
              <w:spacing w:after="0" w:line="240" w:lineRule="auto"/>
              <w:pStyle w:val="Compact"/>
              <w:jc w:val="right"/>
            </w:pPr>
            <w:r>
              <w:rPr>
                <w:sz w:val="20"/>
                <w:szCs w:val="20"/>
              </w:rPr>
              <w:t xml:space="preserve">+6.4 (+3.0, +9.8)</w:t>
            </w:r>
          </w:p>
        </w:tc>
        <w:tc>
          <w:tcPr>
            <w:tcW w:w="1481" w:type="dxa"/>
          </w:tcPr>
          <w:tcPr/>
          <w:p>
            <w:pPr>
              <w:spacing w:after="0" w:line="240" w:lineRule="auto"/>
              <w:pStyle w:val="Compact"/>
              <w:jc w:val="right"/>
            </w:pPr>
            <w:r>
              <w:rPr>
                <w:sz w:val="20"/>
                <w:szCs w:val="20"/>
              </w:rPr>
              <w:t xml:space="preserve">+10.3 (+5.8, +14.9)</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25.4</w:t>
            </w:r>
          </w:p>
        </w:tc>
        <w:tc>
          <w:tcPr>
            <w:tcW w:w="1470" w:type="dxa"/>
          </w:tcPr>
          <w:tcPr/>
          <w:p>
            <w:pPr>
              <w:spacing w:after="0" w:line="240" w:lineRule="auto"/>
              <w:pStyle w:val="Compact"/>
              <w:jc w:val="right"/>
            </w:pPr>
            <w:r>
              <w:rPr>
                <w:sz w:val="20"/>
                <w:szCs w:val="20"/>
              </w:rPr>
              <w:t xml:space="preserve">-7.7 (-9.7, -5.6)</w:t>
            </w:r>
          </w:p>
        </w:tc>
        <w:tc>
          <w:tcPr>
            <w:tcW w:w="1463" w:type="dxa"/>
          </w:tcPr>
          <w:tcPr/>
          <w:p>
            <w:pPr>
              <w:spacing w:after="0" w:line="240" w:lineRule="auto"/>
              <w:pStyle w:val="Compact"/>
              <w:jc w:val="right"/>
            </w:pPr>
            <w:r>
              <w:rPr>
                <w:sz w:val="20"/>
                <w:szCs w:val="20"/>
              </w:rPr>
              <w:t xml:space="preserve">-6.6 (-9.4, -3.7)</w:t>
            </w:r>
          </w:p>
        </w:tc>
        <w:tc>
          <w:tcPr>
            <w:tcW w:w="1477" w:type="dxa"/>
          </w:tcPr>
          <w:tcPr/>
          <w:p>
            <w:pPr>
              <w:spacing w:after="0" w:line="240" w:lineRule="auto"/>
              <w:pStyle w:val="Compact"/>
              <w:jc w:val="right"/>
            </w:pPr>
            <w:r>
              <w:rPr>
                <w:sz w:val="20"/>
                <w:szCs w:val="20"/>
              </w:rPr>
              <w:t xml:space="preserve">-7.1 (-10.8, -3.5)</w:t>
            </w:r>
          </w:p>
        </w:tc>
        <w:tc>
          <w:tcPr>
            <w:tcW w:w="1422" w:type="dxa"/>
          </w:tcPr>
          <w:tcPr/>
          <w:p>
            <w:pPr>
              <w:spacing w:after="0" w:line="240" w:lineRule="auto"/>
              <w:pStyle w:val="Compact"/>
              <w:jc w:val="right"/>
            </w:pPr>
            <w:r>
              <w:rPr>
                <w:sz w:val="20"/>
                <w:szCs w:val="20"/>
              </w:rPr>
              <w:t xml:space="preserve">-3.9 (-6.6, -1.3)</w:t>
            </w:r>
          </w:p>
        </w:tc>
        <w:tc>
          <w:tcPr>
            <w:tcW w:w="1481" w:type="dxa"/>
          </w:tcPr>
          <w:tcPr/>
          <w:p>
            <w:pPr>
              <w:spacing w:after="0" w:line="240" w:lineRule="auto"/>
              <w:pStyle w:val="Compact"/>
              <w:jc w:val="right"/>
            </w:pPr>
            <w:r>
              <w:rPr>
                <w:sz w:val="20"/>
                <w:szCs w:val="20"/>
              </w:rPr>
              <w:t xml:space="preserve">-6.4 (-10.0, -2.7)</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5.8</w:t>
            </w:r>
          </w:p>
        </w:tc>
        <w:tc>
          <w:tcPr>
            <w:tcW w:w="1470" w:type="dxa"/>
          </w:tcPr>
          <w:tcPr/>
          <w:p>
            <w:pPr>
              <w:spacing w:after="0" w:line="240" w:lineRule="auto"/>
              <w:pStyle w:val="Compact"/>
              <w:jc w:val="right"/>
            </w:pPr>
            <w:r>
              <w:rPr>
                <w:sz w:val="20"/>
                <w:szCs w:val="20"/>
              </w:rPr>
              <w:t xml:space="preserve">+14.0 (+11.9, +16.1)</w:t>
            </w:r>
          </w:p>
        </w:tc>
        <w:tc>
          <w:tcPr>
            <w:tcW w:w="1463" w:type="dxa"/>
          </w:tcPr>
          <w:tcPr/>
          <w:p>
            <w:pPr>
              <w:spacing w:after="0" w:line="240" w:lineRule="auto"/>
              <w:pStyle w:val="Compact"/>
              <w:jc w:val="right"/>
            </w:pPr>
            <w:r>
              <w:rPr>
                <w:sz w:val="20"/>
                <w:szCs w:val="20"/>
              </w:rPr>
              <w:t xml:space="preserve">+15.0 (+13.0, +17.1)</w:t>
            </w:r>
          </w:p>
        </w:tc>
        <w:tc>
          <w:tcPr>
            <w:tcW w:w="1477" w:type="dxa"/>
          </w:tcPr>
          <w:tcPr/>
          <w:p>
            <w:pPr>
              <w:spacing w:after="0" w:line="240" w:lineRule="auto"/>
              <w:pStyle w:val="Compact"/>
              <w:jc w:val="right"/>
            </w:pPr>
            <w:r>
              <w:rPr>
                <w:sz w:val="20"/>
                <w:szCs w:val="20"/>
              </w:rPr>
              <w:t xml:space="preserve">+15.1 (+12.4, +17.7)</w:t>
            </w:r>
          </w:p>
        </w:tc>
        <w:tc>
          <w:tcPr>
            <w:tcW w:w="1422" w:type="dxa"/>
          </w:tcPr>
          <w:tcPr/>
          <w:p>
            <w:pPr>
              <w:spacing w:after="0" w:line="240" w:lineRule="auto"/>
              <w:pStyle w:val="Compact"/>
              <w:jc w:val="right"/>
            </w:pPr>
            <w:r>
              <w:rPr>
                <w:sz w:val="20"/>
                <w:szCs w:val="20"/>
              </w:rPr>
              <w:t xml:space="preserve">+6.2 (+4.4, +8.1)</w:t>
            </w:r>
          </w:p>
        </w:tc>
        <w:tc>
          <w:tcPr>
            <w:tcW w:w="1481" w:type="dxa"/>
          </w:tcPr>
          <w:tcPr/>
          <w:p>
            <w:pPr>
              <w:spacing w:after="0" w:line="240" w:lineRule="auto"/>
              <w:pStyle w:val="Compact"/>
              <w:jc w:val="right"/>
            </w:pPr>
            <w:r>
              <w:rPr>
                <w:sz w:val="20"/>
                <w:szCs w:val="20"/>
              </w:rPr>
              <w:t xml:space="preserve">+16.4 (+13.5, +19.3)</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28.9</w:t>
            </w:r>
          </w:p>
        </w:tc>
        <w:tc>
          <w:tcPr>
            <w:tcW w:w="1470" w:type="dxa"/>
          </w:tcPr>
          <w:tcPr/>
          <w:p>
            <w:pPr>
              <w:spacing w:after="0" w:line="240" w:lineRule="auto"/>
              <w:pStyle w:val="Compact"/>
              <w:jc w:val="right"/>
            </w:pPr>
            <w:r>
              <w:rPr>
                <w:sz w:val="20"/>
                <w:szCs w:val="20"/>
              </w:rPr>
              <w:t xml:space="preserve">-6.6 (-7.6, -5.6)</w:t>
            </w:r>
          </w:p>
        </w:tc>
        <w:tc>
          <w:tcPr>
            <w:tcW w:w="1463" w:type="dxa"/>
          </w:tcPr>
          <w:tcPr/>
          <w:p>
            <w:pPr>
              <w:spacing w:after="0" w:line="240" w:lineRule="auto"/>
              <w:pStyle w:val="Compact"/>
              <w:jc w:val="right"/>
            </w:pPr>
            <w:r>
              <w:rPr>
                <w:sz w:val="20"/>
                <w:szCs w:val="20"/>
              </w:rPr>
              <w:t xml:space="preserve">-6.6 (-7.6, -5.6)</w:t>
            </w:r>
          </w:p>
        </w:tc>
        <w:tc>
          <w:tcPr>
            <w:tcW w:w="1477" w:type="dxa"/>
          </w:tcPr>
          <w:tcPr/>
          <w:p>
            <w:pPr>
              <w:spacing w:after="0" w:line="240" w:lineRule="auto"/>
              <w:pStyle w:val="Compact"/>
              <w:jc w:val="right"/>
            </w:pPr>
            <w:r>
              <w:rPr>
                <w:sz w:val="20"/>
                <w:szCs w:val="20"/>
              </w:rPr>
              <w:t xml:space="preserve">-6.1 (-7.3, -4.8)</w:t>
            </w:r>
          </w:p>
        </w:tc>
        <w:tc>
          <w:tcPr>
            <w:tcW w:w="1422" w:type="dxa"/>
          </w:tcPr>
          <w:tcPr/>
          <w:p>
            <w:pPr>
              <w:spacing w:after="0" w:line="240" w:lineRule="auto"/>
              <w:pStyle w:val="Compact"/>
              <w:jc w:val="right"/>
            </w:pPr>
            <w:r>
              <w:rPr>
                <w:sz w:val="20"/>
                <w:szCs w:val="20"/>
              </w:rPr>
              <w:t xml:space="preserve">-1.0 (-2.0, -0.0)</w:t>
            </w:r>
          </w:p>
        </w:tc>
        <w:tc>
          <w:tcPr>
            <w:tcW w:w="1481" w:type="dxa"/>
          </w:tcPr>
          <w:tcPr/>
          <w:p>
            <w:pPr>
              <w:spacing w:after="0" w:line="240" w:lineRule="auto"/>
              <w:pStyle w:val="Compact"/>
              <w:jc w:val="right"/>
            </w:pPr>
            <w:r>
              <w:rPr>
                <w:sz w:val="20"/>
                <w:szCs w:val="20"/>
              </w:rPr>
              <w:t xml:space="preserve">-6.0 (-7.5, -4.6)</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78.2</w:t>
            </w:r>
          </w:p>
        </w:tc>
        <w:tc>
          <w:tcPr>
            <w:tcW w:w="1470" w:type="dxa"/>
          </w:tcPr>
          <w:tcPr/>
          <w:p>
            <w:pPr>
              <w:spacing w:after="0" w:line="240" w:lineRule="auto"/>
              <w:pStyle w:val="Compact"/>
              <w:jc w:val="right"/>
            </w:pPr>
            <w:r>
              <w:rPr>
                <w:sz w:val="20"/>
                <w:szCs w:val="20"/>
              </w:rPr>
              <w:t xml:space="preserve">+1.3 (+1.2, +1.4)</w:t>
            </w:r>
          </w:p>
        </w:tc>
        <w:tc>
          <w:tcPr>
            <w:tcW w:w="1463" w:type="dxa"/>
          </w:tcPr>
          <w:tcPr/>
          <w:p>
            <w:pPr>
              <w:spacing w:after="0" w:line="240" w:lineRule="auto"/>
              <w:pStyle w:val="Compact"/>
              <w:jc w:val="right"/>
            </w:pPr>
            <w:r>
              <w:rPr>
                <w:sz w:val="20"/>
                <w:szCs w:val="20"/>
              </w:rPr>
              <w:t xml:space="preserve">+1.5 (+1.3, +1.6)</w:t>
            </w:r>
          </w:p>
        </w:tc>
        <w:tc>
          <w:tcPr>
            <w:tcW w:w="1477" w:type="dxa"/>
          </w:tcPr>
          <w:tcPr/>
          <w:p>
            <w:pPr>
              <w:spacing w:after="0" w:line="240" w:lineRule="auto"/>
              <w:pStyle w:val="Compact"/>
              <w:jc w:val="right"/>
            </w:pPr>
            <w:r>
              <w:rPr>
                <w:sz w:val="20"/>
                <w:szCs w:val="20"/>
              </w:rPr>
              <w:t xml:space="preserve">+1.4 (+1.3, +1.5)</w:t>
            </w:r>
          </w:p>
        </w:tc>
        <w:tc>
          <w:tcPr>
            <w:tcW w:w="1422" w:type="dxa"/>
          </w:tcPr>
          <w:tcPr/>
          <w:p>
            <w:pPr>
              <w:spacing w:after="0" w:line="240" w:lineRule="auto"/>
              <w:pStyle w:val="Compact"/>
              <w:jc w:val="right"/>
            </w:pPr>
            <w:r>
              <w:rPr>
                <w:sz w:val="20"/>
                <w:szCs w:val="20"/>
              </w:rPr>
              <w:t xml:space="preserve">+0.8 (+0.7, +1.0)</w:t>
            </w:r>
          </w:p>
        </w:tc>
        <w:tc>
          <w:tcPr>
            <w:tcW w:w="1481" w:type="dxa"/>
          </w:tcPr>
          <w:tcPr/>
          <w:p>
            <w:pPr>
              <w:spacing w:after="0" w:line="240" w:lineRule="auto"/>
              <w:pStyle w:val="Compact"/>
              <w:jc w:val="right"/>
            </w:pPr>
            <w:r>
              <w:rPr>
                <w:sz w:val="20"/>
                <w:szCs w:val="20"/>
              </w:rPr>
              <w:t xml:space="preserve">+1.4 (+1.2, +1.5)</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3.8</w:t>
            </w:r>
          </w:p>
        </w:tc>
        <w:tc>
          <w:tcPr>
            <w:tcW w:w="1470" w:type="dxa"/>
          </w:tcPr>
          <w:tcPr/>
          <w:p>
            <w:pPr>
              <w:spacing w:after="0" w:line="240" w:lineRule="auto"/>
              <w:pStyle w:val="Compact"/>
              <w:jc w:val="right"/>
            </w:pPr>
            <w:r>
              <w:rPr>
                <w:sz w:val="20"/>
                <w:szCs w:val="20"/>
              </w:rPr>
              <w:t xml:space="preserve">-5.9 (-6.5, -5.2)</w:t>
            </w:r>
          </w:p>
        </w:tc>
        <w:tc>
          <w:tcPr>
            <w:tcW w:w="1463" w:type="dxa"/>
          </w:tcPr>
          <w:tcPr/>
          <w:p>
            <w:pPr>
              <w:spacing w:after="0" w:line="240" w:lineRule="auto"/>
              <w:pStyle w:val="Compact"/>
              <w:jc w:val="right"/>
            </w:pPr>
            <w:r>
              <w:rPr>
                <w:sz w:val="20"/>
                <w:szCs w:val="20"/>
              </w:rPr>
              <w:t xml:space="preserve">-6.5 (-7.2, -5.7)</w:t>
            </w:r>
          </w:p>
        </w:tc>
        <w:tc>
          <w:tcPr>
            <w:tcW w:w="1477" w:type="dxa"/>
          </w:tcPr>
          <w:tcPr/>
          <w:p>
            <w:pPr>
              <w:spacing w:after="0" w:line="240" w:lineRule="auto"/>
              <w:pStyle w:val="Compact"/>
              <w:jc w:val="right"/>
            </w:pPr>
            <w:r>
              <w:rPr>
                <w:sz w:val="20"/>
                <w:szCs w:val="20"/>
              </w:rPr>
              <w:t xml:space="preserve">-6.0 (-6.8, -5.3)</w:t>
            </w:r>
          </w:p>
        </w:tc>
        <w:tc>
          <w:tcPr>
            <w:tcW w:w="1422" w:type="dxa"/>
          </w:tcPr>
          <w:tcPr/>
          <w:p>
            <w:pPr>
              <w:spacing w:after="0" w:line="240" w:lineRule="auto"/>
              <w:pStyle w:val="Compact"/>
              <w:jc w:val="right"/>
            </w:pPr>
            <w:r>
              <w:rPr>
                <w:sz w:val="20"/>
                <w:szCs w:val="20"/>
              </w:rPr>
              <w:t xml:space="preserve">-3.0 (-3.8, -2.3)</w:t>
            </w:r>
          </w:p>
        </w:tc>
        <w:tc>
          <w:tcPr>
            <w:tcW w:w="1481" w:type="dxa"/>
          </w:tcPr>
          <w:tcPr/>
          <w:p>
            <w:pPr>
              <w:spacing w:after="0" w:line="240" w:lineRule="auto"/>
              <w:pStyle w:val="Compact"/>
              <w:jc w:val="right"/>
            </w:pPr>
            <w:r>
              <w:rPr>
                <w:sz w:val="20"/>
                <w:szCs w:val="20"/>
              </w:rPr>
              <w:t xml:space="preserve">-6.0 (-6.7, -5.2)</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80.4</w:t>
            </w:r>
          </w:p>
        </w:tc>
        <w:tc>
          <w:tcPr>
            <w:tcW w:w="1470" w:type="dxa"/>
          </w:tcPr>
          <w:tcPr/>
          <w:p>
            <w:pPr>
              <w:spacing w:after="0" w:line="240" w:lineRule="auto"/>
              <w:pStyle w:val="Compact"/>
              <w:jc w:val="right"/>
            </w:pPr>
            <w:r>
              <w:rPr>
                <w:sz w:val="20"/>
                <w:szCs w:val="20"/>
              </w:rPr>
              <w:t xml:space="preserve">+1.3 (+1.2, +1.5)</w:t>
            </w:r>
          </w:p>
        </w:tc>
        <w:tc>
          <w:tcPr>
            <w:tcW w:w="1463" w:type="dxa"/>
          </w:tcPr>
          <w:tcPr/>
          <w:p>
            <w:pPr>
              <w:spacing w:after="0" w:line="240" w:lineRule="auto"/>
              <w:pStyle w:val="Compact"/>
              <w:jc w:val="right"/>
            </w:pPr>
            <w:r>
              <w:rPr>
                <w:sz w:val="20"/>
                <w:szCs w:val="20"/>
              </w:rPr>
              <w:t xml:space="preserve">+1.5 (+1.4, +1.7)</w:t>
            </w:r>
          </w:p>
        </w:tc>
        <w:tc>
          <w:tcPr>
            <w:tcW w:w="1477" w:type="dxa"/>
          </w:tcPr>
          <w:tcPr/>
          <w:p>
            <w:pPr>
              <w:spacing w:after="0" w:line="240" w:lineRule="auto"/>
              <w:pStyle w:val="Compact"/>
              <w:jc w:val="right"/>
            </w:pPr>
            <w:r>
              <w:rPr>
                <w:sz w:val="20"/>
                <w:szCs w:val="20"/>
              </w:rPr>
              <w:t xml:space="preserve">+1.4 (+1.3, +1.5)</w:t>
            </w:r>
          </w:p>
        </w:tc>
        <w:tc>
          <w:tcPr>
            <w:tcW w:w="1422" w:type="dxa"/>
          </w:tcPr>
          <w:tcPr/>
          <w:p>
            <w:pPr>
              <w:spacing w:after="0" w:line="240" w:lineRule="auto"/>
              <w:pStyle w:val="Compact"/>
              <w:jc w:val="right"/>
            </w:pPr>
            <w:r>
              <w:rPr>
                <w:sz w:val="20"/>
                <w:szCs w:val="20"/>
              </w:rPr>
              <w:t xml:space="preserve">+0.9 (+0.8, +1.0)</w:t>
            </w:r>
          </w:p>
        </w:tc>
        <w:tc>
          <w:tcPr>
            <w:tcW w:w="1481" w:type="dxa"/>
          </w:tcPr>
          <w:tcPr/>
          <w:p>
            <w:pPr>
              <w:spacing w:after="0" w:line="240" w:lineRule="auto"/>
              <w:pStyle w:val="Compact"/>
              <w:jc w:val="right"/>
            </w:pPr>
            <w:r>
              <w:rPr>
                <w:sz w:val="20"/>
                <w:szCs w:val="20"/>
              </w:rPr>
              <w:t xml:space="preserve">+1.5 (+1.3, +1.6)</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4.5</w:t>
            </w:r>
          </w:p>
        </w:tc>
        <w:tc>
          <w:tcPr>
            <w:tcW w:w="1470" w:type="dxa"/>
          </w:tcPr>
          <w:tcPr/>
          <w:p>
            <w:pPr>
              <w:spacing w:after="0" w:line="240" w:lineRule="auto"/>
              <w:pStyle w:val="Compact"/>
              <w:jc w:val="right"/>
            </w:pPr>
            <w:r>
              <w:rPr>
                <w:sz w:val="20"/>
                <w:szCs w:val="20"/>
              </w:rPr>
              <w:t xml:space="preserve">-5.4 (-5.9, -4.8)</w:t>
            </w:r>
          </w:p>
        </w:tc>
        <w:tc>
          <w:tcPr>
            <w:tcW w:w="1463" w:type="dxa"/>
          </w:tcPr>
          <w:tcPr/>
          <w:p>
            <w:pPr>
              <w:spacing w:after="0" w:line="240" w:lineRule="auto"/>
              <w:pStyle w:val="Compact"/>
              <w:jc w:val="right"/>
            </w:pPr>
            <w:r>
              <w:rPr>
                <w:sz w:val="20"/>
                <w:szCs w:val="20"/>
              </w:rPr>
              <w:t xml:space="preserve">-6.2 (-6.9, -5.6)</w:t>
            </w:r>
          </w:p>
        </w:tc>
        <w:tc>
          <w:tcPr>
            <w:tcW w:w="1477" w:type="dxa"/>
          </w:tcPr>
          <w:tcPr/>
          <w:p>
            <w:pPr>
              <w:spacing w:after="0" w:line="240" w:lineRule="auto"/>
              <w:pStyle w:val="Compact"/>
              <w:jc w:val="right"/>
            </w:pPr>
            <w:r>
              <w:rPr>
                <w:sz w:val="20"/>
                <w:szCs w:val="20"/>
              </w:rPr>
              <w:t xml:space="preserve">-5.6 (-6.1, -5.0)</w:t>
            </w:r>
          </w:p>
        </w:tc>
        <w:tc>
          <w:tcPr>
            <w:tcW w:w="1422" w:type="dxa"/>
          </w:tcPr>
          <w:tcPr/>
          <w:p>
            <w:pPr>
              <w:spacing w:after="0" w:line="240" w:lineRule="auto"/>
              <w:pStyle w:val="Compact"/>
              <w:jc w:val="right"/>
            </w:pPr>
            <w:r>
              <w:rPr>
                <w:sz w:val="20"/>
                <w:szCs w:val="20"/>
              </w:rPr>
              <w:t xml:space="preserve">-3.0 (-3.5, -2.6)</w:t>
            </w:r>
          </w:p>
        </w:tc>
        <w:tc>
          <w:tcPr>
            <w:tcW w:w="1481" w:type="dxa"/>
          </w:tcPr>
          <w:tcPr/>
          <w:p>
            <w:pPr>
              <w:spacing w:after="0" w:line="240" w:lineRule="auto"/>
              <w:pStyle w:val="Compact"/>
              <w:jc w:val="right"/>
            </w:pPr>
            <w:r>
              <w:rPr>
                <w:sz w:val="20"/>
                <w:szCs w:val="20"/>
              </w:rPr>
              <w:t xml:space="preserve">-5.6 (-6.2, -5.0)</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100.0</w:t>
            </w:r>
          </w:p>
        </w:tc>
        <w:tc>
          <w:tcPr>
            <w:tcW w:w="1470" w:type="dxa"/>
          </w:tcPr>
          <w:tcPr/>
          <w:p>
            <w:pPr>
              <w:spacing w:after="0" w:line="240" w:lineRule="auto"/>
              <w:pStyle w:val="Compact"/>
              <w:jc w:val="right"/>
            </w:pPr>
            <w:r>
              <w:rPr>
                <w:sz w:val="20"/>
                <w:szCs w:val="20"/>
              </w:rPr>
              <w:t xml:space="preserve">+0.4 (+0.4, +0.4)</w:t>
            </w:r>
          </w:p>
        </w:tc>
        <w:tc>
          <w:tcPr>
            <w:tcW w:w="1463" w:type="dxa"/>
          </w:tcPr>
          <w:tcPr/>
          <w:p>
            <w:pPr>
              <w:spacing w:after="0" w:line="240" w:lineRule="auto"/>
              <w:pStyle w:val="Compact"/>
              <w:jc w:val="right"/>
            </w:pPr>
            <w:r>
              <w:rPr>
                <w:sz w:val="20"/>
                <w:szCs w:val="20"/>
              </w:rPr>
              <w:t xml:space="preserve">+0.5 (+0.4, +0.5)</w:t>
            </w:r>
          </w:p>
        </w:tc>
        <w:tc>
          <w:tcPr>
            <w:tcW w:w="1477" w:type="dxa"/>
          </w:tcPr>
          <w:tcPr/>
          <w:p>
            <w:pPr>
              <w:spacing w:after="0" w:line="240" w:lineRule="auto"/>
              <w:pStyle w:val="Compact"/>
              <w:jc w:val="right"/>
            </w:pPr>
            <w:r>
              <w:rPr>
                <w:sz w:val="20"/>
                <w:szCs w:val="20"/>
              </w:rPr>
              <w:t xml:space="preserve">+0.5 (+0.5, +0.5)</w:t>
            </w:r>
          </w:p>
        </w:tc>
        <w:tc>
          <w:tcPr>
            <w:tcW w:w="1422" w:type="dxa"/>
          </w:tcPr>
          <w:tcPr/>
          <w:p>
            <w:pPr>
              <w:spacing w:after="0" w:line="240" w:lineRule="auto"/>
              <w:pStyle w:val="Compact"/>
              <w:jc w:val="right"/>
            </w:pPr>
            <w:r>
              <w:rPr>
                <w:sz w:val="20"/>
                <w:szCs w:val="20"/>
              </w:rPr>
              <w:t xml:space="preserve">+0.3 (+0.3, +0.3)</w:t>
            </w:r>
          </w:p>
        </w:tc>
        <w:tc>
          <w:tcPr>
            <w:tcW w:w="1481" w:type="dxa"/>
          </w:tcPr>
          <w:tcPr/>
          <w:p>
            <w:pPr>
              <w:spacing w:after="0" w:line="240" w:lineRule="auto"/>
              <w:pStyle w:val="Compact"/>
              <w:jc w:val="right"/>
            </w:pPr>
            <w:r>
              <w:rPr>
                <w:sz w:val="20"/>
                <w:szCs w:val="20"/>
              </w:rPr>
              <w:t xml:space="preserve">+0.5 (+0.4, +0.5)</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10.4</w:t>
            </w:r>
          </w:p>
        </w:tc>
        <w:tc>
          <w:tcPr>
            <w:tcW w:w="1470" w:type="dxa"/>
          </w:tcPr>
          <w:tcPr/>
          <w:p>
            <w:pPr>
              <w:spacing w:after="0" w:line="240" w:lineRule="auto"/>
              <w:pStyle w:val="Compact"/>
              <w:jc w:val="right"/>
            </w:pPr>
            <w:r>
              <w:rPr>
                <w:sz w:val="20"/>
                <w:szCs w:val="20"/>
              </w:rPr>
              <w:t xml:space="preserve">-1.3 (-1.4, -1.2)</w:t>
            </w:r>
          </w:p>
        </w:tc>
        <w:tc>
          <w:tcPr>
            <w:tcW w:w="1463" w:type="dxa"/>
          </w:tcPr>
          <w:tcPr/>
          <w:p>
            <w:pPr>
              <w:spacing w:after="0" w:line="240" w:lineRule="auto"/>
              <w:pStyle w:val="Compact"/>
              <w:jc w:val="right"/>
            </w:pPr>
            <w:r>
              <w:rPr>
                <w:sz w:val="20"/>
                <w:szCs w:val="20"/>
              </w:rPr>
              <w:t xml:space="preserve">-1.7 (-1.9, -1.6)</w:t>
            </w:r>
          </w:p>
        </w:tc>
        <w:tc>
          <w:tcPr>
            <w:tcW w:w="1477" w:type="dxa"/>
          </w:tcPr>
          <w:tcPr/>
          <w:p>
            <w:pPr>
              <w:spacing w:after="0" w:line="240" w:lineRule="auto"/>
              <w:pStyle w:val="Compact"/>
              <w:jc w:val="right"/>
            </w:pPr>
            <w:r>
              <w:rPr>
                <w:sz w:val="20"/>
                <w:szCs w:val="20"/>
              </w:rPr>
              <w:t xml:space="preserve">-1.7 (-1.8, -1.6)</w:t>
            </w:r>
          </w:p>
        </w:tc>
        <w:tc>
          <w:tcPr>
            <w:tcW w:w="1422" w:type="dxa"/>
          </w:tcPr>
          <w:tcPr/>
          <w:p>
            <w:pPr>
              <w:spacing w:after="0" w:line="240" w:lineRule="auto"/>
              <w:pStyle w:val="Compact"/>
              <w:jc w:val="right"/>
            </w:pPr>
            <w:r>
              <w:rPr>
                <w:sz w:val="20"/>
                <w:szCs w:val="20"/>
              </w:rPr>
              <w:t xml:space="preserve">-1.1 (-1.2, -1.0)</w:t>
            </w:r>
          </w:p>
        </w:tc>
        <w:tc>
          <w:tcPr>
            <w:tcW w:w="1481" w:type="dxa"/>
          </w:tcPr>
          <w:tcPr/>
          <w:p>
            <w:pPr>
              <w:spacing w:after="0" w:line="240" w:lineRule="auto"/>
              <w:pStyle w:val="Compact"/>
              <w:jc w:val="right"/>
            </w:pPr>
            <w:r>
              <w:rPr>
                <w:sz w:val="20"/>
                <w:szCs w:val="20"/>
              </w:rPr>
              <w:t xml:space="preserve">-1.6 (-1.8, -1.4)</w:t>
            </w:r>
          </w:p>
        </w:tc>
      </w:tr>
    </w:tbl>
    <w:p>
      <w:pPr>
        <w:pStyle w:val="BodyText"/>
      </w:pPr>
      <w:r>
        <w:t xml:space="preserve">The differences between cycles are smaller than the difference from the Default. The 2022 schedules stand apart: in the house NUs they give the smallest heating increase (+6.2 to +7.0 %) and the smallest cooling decrease (−1.0 to −3.9 %), and most year-to-year differences whose interval excludes zero involve 2022 (heating 18 of 22 such differences, cooling 20 of 24, out of 60 pairs each). The 2005, 2010, 2015 and 2025 schedules give deviations that overlap in most NUs, so the projected 2025 cohort behaves like the pre-pandemic cycles rather than like 2022. The survey-based schedules lower equipment, lighting and hot-water use and the night-time metabolic gains relative to the Default, which lowers internal gains and so raises heating and lowers cooling; the 2022 schedules, with the most daytime presence (Section 4.1.1), lower equipment use by only 1.9 to 2.8 % and lighting by 8.3 to 12.6 %, against 3.0 to 5.8 % and 8.0 to 18.9 % in the other years, and therefore depart least from the Default.</w:t>
      </w:r>
    </w:p>
    <w:p>
      <w:pPr>
        <w:pStyle w:val="BodyText"/>
      </w:pPr>
      <w:r>
        <w:t xml:space="preserve">Peak cooling demand follows the same pattern (Table 11). In the house NUs the survey-based schedules lower the annual peak by 3.8 to 10.2 %, least in 2022; in the apartment NUs the change is between −1.9 and +0.3 %. The peak falls on the same day and at the same quarter-hour as in the Default in most draws (26 July at 19:30–19:45 in the house NUs, 10 August at 13:15 in the mid-rise NUs and 14 July at 19:00 in the high-rise NU), so in this weather file the occupancy schedules change the size of the cooling peak but not its timing.</w:t>
      </w:r>
    </w:p>
    <w:p>
      <w:pPr>
        <w:pStyle w:val="BodyText"/>
      </w:pPr>
      <w:r>
        <w:t xml:space="preserve">Table 11. Deviation of the annual peak cooling demand from the Default (%), mean over 30 draws with 95 % confidence interval, and the time of the Default peak.</w:t>
      </w:r>
    </w:p>
    <w:tbl>
      <w:tblPr>
        <w:tblStyle w:val="Table"/>
        <w:tblW w:type="pct" w:w="5000"/>
        <w:tblLayout w:type="fixed"/>
        <w:tblCellMar>
          <w:left w:w="72" w:type="dxa"/>
          <w:right w:w="72" w:type="dxa"/>
        </w:tblCellMar>
        <w:tblLook w:firstRow="1" w:lastRow="0" w:firstColumn="0" w:lastColumn="0" w:noHBand="0" w:noVBand="0" w:val="0020"/>
      </w:tblPr>
      <w:tblGrid>
        <w:gridCol w:w="429"/>
        <w:gridCol w:w="809"/>
        <w:gridCol w:w="1059"/>
        <w:gridCol w:w="1439"/>
        <w:gridCol w:w="1412"/>
        <w:gridCol w:w="1412"/>
        <w:gridCol w:w="1385"/>
        <w:gridCol w:w="1415"/>
      </w:tblGrid>
      <w:tr>
        <w:trPr>
          <w:tblHeader w:val="on"/>
        </w:trPr>
        <w:tc>
          <w:tcPr>
            <w:tcW w:w="429" w:type="dxa"/>
          </w:tcPr>
          <w:tcPr/>
          <w:p>
            <w:pPr>
              <w:spacing w:after="0" w:line="240" w:lineRule="auto"/>
              <w:pStyle w:val="Compact"/>
              <w:jc w:val="left"/>
            </w:pPr>
            <w:r>
              <w:rPr>
                <w:sz w:val="20"/>
                <w:szCs w:val="20"/>
              </w:rPr>
              <w:t xml:space="preserve">NU</w:t>
            </w:r>
          </w:p>
        </w:tc>
        <w:tc>
          <w:tcPr>
            <w:tcW w:w="809" w:type="dxa"/>
          </w:tcPr>
          <w:tcPr/>
          <w:p>
            <w:pPr>
              <w:spacing w:after="0" w:line="240" w:lineRule="auto"/>
              <w:pStyle w:val="Compact"/>
              <w:jc w:val="right"/>
            </w:pPr>
            <w:r>
              <w:rPr>
                <w:sz w:val="20"/>
                <w:szCs w:val="20"/>
              </w:rPr>
              <w:t xml:space="preserve">Default peak (W/m²)</w:t>
            </w:r>
          </w:p>
        </w:tc>
        <w:tc>
          <w:tcPr>
            <w:tcW w:w="1059" w:type="dxa"/>
          </w:tcPr>
          <w:tcPr/>
          <w:p>
            <w:pPr>
              <w:spacing w:after="0" w:line="240" w:lineRule="auto"/>
              <w:pStyle w:val="Compact"/>
              <w:jc w:val="left"/>
            </w:pPr>
            <w:r>
              <w:rPr>
                <w:sz w:val="20"/>
                <w:szCs w:val="20"/>
              </w:rPr>
              <w:t xml:space="preserve">Time of Default peak</w:t>
            </w:r>
          </w:p>
        </w:tc>
        <w:tc>
          <w:tcPr>
            <w:tcW w:w="1439" w:type="dxa"/>
          </w:tcPr>
          <w:tcPr/>
          <w:p>
            <w:pPr>
              <w:spacing w:after="0" w:line="240" w:lineRule="auto"/>
              <w:pStyle w:val="Compact"/>
              <w:jc w:val="right"/>
            </w:pPr>
            <w:r>
              <w:rPr>
                <w:sz w:val="20"/>
                <w:szCs w:val="20"/>
              </w:rPr>
              <w:t xml:space="preserve">2005</w:t>
            </w:r>
          </w:p>
        </w:tc>
        <w:tc>
          <w:tcPr>
            <w:tcW w:w="1412" w:type="dxa"/>
          </w:tcPr>
          <w:tcPr/>
          <w:p>
            <w:pPr>
              <w:spacing w:after="0" w:line="240" w:lineRule="auto"/>
              <w:pStyle w:val="Compact"/>
              <w:jc w:val="right"/>
            </w:pPr>
            <w:r>
              <w:rPr>
                <w:sz w:val="20"/>
                <w:szCs w:val="20"/>
              </w:rPr>
              <w:t xml:space="preserve">2010</w:t>
            </w:r>
          </w:p>
        </w:tc>
        <w:tc>
          <w:tcPr>
            <w:tcW w:w="1412" w:type="dxa"/>
          </w:tcPr>
          <w:tcPr/>
          <w:p>
            <w:pPr>
              <w:spacing w:after="0" w:line="240" w:lineRule="auto"/>
              <w:pStyle w:val="Compact"/>
              <w:jc w:val="right"/>
            </w:pPr>
            <w:r>
              <w:rPr>
                <w:sz w:val="20"/>
                <w:szCs w:val="20"/>
              </w:rPr>
              <w:t xml:space="preserve">2015</w:t>
            </w:r>
          </w:p>
        </w:tc>
        <w:tc>
          <w:tcPr>
            <w:tcW w:w="1385" w:type="dxa"/>
          </w:tcPr>
          <w:tcPr/>
          <w:p>
            <w:pPr>
              <w:spacing w:after="0" w:line="240" w:lineRule="auto"/>
              <w:pStyle w:val="Compact"/>
              <w:jc w:val="right"/>
            </w:pPr>
            <w:r>
              <w:rPr>
                <w:sz w:val="20"/>
                <w:szCs w:val="20"/>
              </w:rPr>
              <w:t xml:space="preserve">2022</w:t>
            </w:r>
          </w:p>
        </w:tc>
        <w:tc>
          <w:tcPr>
            <w:tcW w:w="1415" w:type="dxa"/>
          </w:tcPr>
          <w:tcPr/>
          <w:p>
            <w:pPr>
              <w:spacing w:after="0" w:line="240" w:lineRule="auto"/>
              <w:pStyle w:val="Compact"/>
              <w:jc w:val="right"/>
            </w:pPr>
            <w:r>
              <w:rPr>
                <w:sz w:val="20"/>
                <w:szCs w:val="20"/>
              </w:rPr>
              <w:t xml:space="preserve">2025</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right"/>
            </w:pPr>
            <w:r>
              <w:rPr>
                <w:sz w:val="20"/>
                <w:szCs w:val="20"/>
              </w:rPr>
              <w:t xml:space="preserve">18.6</w:t>
            </w:r>
          </w:p>
        </w:tc>
        <w:tc>
          <w:tcPr>
            <w:tcW w:w="1059" w:type="dxa"/>
          </w:tcPr>
          <w:tcPr/>
          <w:p>
            <w:pPr>
              <w:spacing w:after="0" w:line="240" w:lineRule="auto"/>
              <w:pStyle w:val="Compact"/>
              <w:jc w:val="left"/>
            </w:pPr>
            <w:r>
              <w:rPr>
                <w:sz w:val="20"/>
                <w:szCs w:val="20"/>
              </w:rPr>
              <w:t xml:space="preserve">26 Jul, 19:45</w:t>
            </w:r>
          </w:p>
        </w:tc>
        <w:tc>
          <w:tcPr>
            <w:tcW w:w="1439" w:type="dxa"/>
          </w:tcPr>
          <w:tcPr/>
          <w:p>
            <w:pPr>
              <w:spacing w:after="0" w:line="240" w:lineRule="auto"/>
              <w:pStyle w:val="Compact"/>
              <w:jc w:val="right"/>
            </w:pPr>
            <w:r>
              <w:rPr>
                <w:sz w:val="20"/>
                <w:szCs w:val="20"/>
              </w:rPr>
              <w:t xml:space="preserve">-10.2 (-12.3, -8.1)</w:t>
            </w:r>
          </w:p>
        </w:tc>
        <w:tc>
          <w:tcPr>
            <w:tcW w:w="1412" w:type="dxa"/>
          </w:tcPr>
          <w:tcPr/>
          <w:p>
            <w:pPr>
              <w:spacing w:after="0" w:line="240" w:lineRule="auto"/>
              <w:pStyle w:val="Compact"/>
              <w:jc w:val="right"/>
            </w:pPr>
            <w:r>
              <w:rPr>
                <w:sz w:val="20"/>
                <w:szCs w:val="20"/>
              </w:rPr>
              <w:t xml:space="preserve">-7.8 (-10.3, -5.3)</w:t>
            </w:r>
          </w:p>
        </w:tc>
        <w:tc>
          <w:tcPr>
            <w:tcW w:w="1412" w:type="dxa"/>
          </w:tcPr>
          <w:tcPr/>
          <w:p>
            <w:pPr>
              <w:spacing w:after="0" w:line="240" w:lineRule="auto"/>
              <w:pStyle w:val="Compact"/>
              <w:jc w:val="right"/>
            </w:pPr>
            <w:r>
              <w:rPr>
                <w:sz w:val="20"/>
                <w:szCs w:val="20"/>
              </w:rPr>
              <w:t xml:space="preserve">-9.4 (-12.4, -6.3)</w:t>
            </w:r>
          </w:p>
        </w:tc>
        <w:tc>
          <w:tcPr>
            <w:tcW w:w="1385" w:type="dxa"/>
          </w:tcPr>
          <w:tcPr/>
          <w:p>
            <w:pPr>
              <w:spacing w:after="0" w:line="240" w:lineRule="auto"/>
              <w:pStyle w:val="Compact"/>
              <w:jc w:val="right"/>
            </w:pPr>
            <w:r>
              <w:rPr>
                <w:sz w:val="20"/>
                <w:szCs w:val="20"/>
              </w:rPr>
              <w:t xml:space="preserve">-5.0 (-7.9, -2.1)</w:t>
            </w:r>
          </w:p>
        </w:tc>
        <w:tc>
          <w:tcPr>
            <w:tcW w:w="1415" w:type="dxa"/>
          </w:tcPr>
          <w:tcPr/>
          <w:p>
            <w:pPr>
              <w:spacing w:after="0" w:line="240" w:lineRule="auto"/>
              <w:pStyle w:val="Compact"/>
              <w:jc w:val="right"/>
            </w:pPr>
            <w:r>
              <w:rPr>
                <w:sz w:val="20"/>
                <w:szCs w:val="20"/>
              </w:rPr>
              <w:t xml:space="preserve">-7.5 (-10.1, -4.8)</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right"/>
            </w:pPr>
            <w:r>
              <w:rPr>
                <w:sz w:val="20"/>
                <w:szCs w:val="20"/>
              </w:rPr>
              <w:t xml:space="preserve">18.7</w:t>
            </w:r>
          </w:p>
        </w:tc>
        <w:tc>
          <w:tcPr>
            <w:tcW w:w="1059" w:type="dxa"/>
          </w:tcPr>
          <w:tcPr/>
          <w:p>
            <w:pPr>
              <w:spacing w:after="0" w:line="240" w:lineRule="auto"/>
              <w:pStyle w:val="Compact"/>
              <w:jc w:val="left"/>
            </w:pPr>
            <w:r>
              <w:rPr>
                <w:sz w:val="20"/>
                <w:szCs w:val="20"/>
              </w:rPr>
              <w:t xml:space="preserve">26 Jul, 19:30</w:t>
            </w:r>
          </w:p>
        </w:tc>
        <w:tc>
          <w:tcPr>
            <w:tcW w:w="1439" w:type="dxa"/>
          </w:tcPr>
          <w:tcPr/>
          <w:p>
            <w:pPr>
              <w:spacing w:after="0" w:line="240" w:lineRule="auto"/>
              <w:pStyle w:val="Compact"/>
              <w:jc w:val="right"/>
            </w:pPr>
            <w:r>
              <w:rPr>
                <w:sz w:val="20"/>
                <w:szCs w:val="20"/>
              </w:rPr>
              <w:t xml:space="preserve">-10.1 (-12.2, -8.0)</w:t>
            </w:r>
          </w:p>
        </w:tc>
        <w:tc>
          <w:tcPr>
            <w:tcW w:w="1412" w:type="dxa"/>
          </w:tcPr>
          <w:tcPr/>
          <w:p>
            <w:pPr>
              <w:spacing w:after="0" w:line="240" w:lineRule="auto"/>
              <w:pStyle w:val="Compact"/>
              <w:jc w:val="right"/>
            </w:pPr>
            <w:r>
              <w:rPr>
                <w:sz w:val="20"/>
                <w:szCs w:val="20"/>
              </w:rPr>
              <w:t xml:space="preserve">-9.6 (-12.3, -6.9)</w:t>
            </w:r>
          </w:p>
        </w:tc>
        <w:tc>
          <w:tcPr>
            <w:tcW w:w="1412" w:type="dxa"/>
          </w:tcPr>
          <w:tcPr/>
          <w:p>
            <w:pPr>
              <w:spacing w:after="0" w:line="240" w:lineRule="auto"/>
              <w:pStyle w:val="Compact"/>
              <w:jc w:val="right"/>
            </w:pPr>
            <w:r>
              <w:rPr>
                <w:sz w:val="20"/>
                <w:szCs w:val="20"/>
              </w:rPr>
              <w:t xml:space="preserve">-8.4 (-12.1, -4.6)</w:t>
            </w:r>
          </w:p>
        </w:tc>
        <w:tc>
          <w:tcPr>
            <w:tcW w:w="1385" w:type="dxa"/>
          </w:tcPr>
          <w:tcPr/>
          <w:p>
            <w:pPr>
              <w:spacing w:after="0" w:line="240" w:lineRule="auto"/>
              <w:pStyle w:val="Compact"/>
              <w:jc w:val="right"/>
            </w:pPr>
            <w:r>
              <w:rPr>
                <w:sz w:val="20"/>
                <w:szCs w:val="20"/>
              </w:rPr>
              <w:t xml:space="preserve">-7.0 (-8.9, -5.2)</w:t>
            </w:r>
          </w:p>
        </w:tc>
        <w:tc>
          <w:tcPr>
            <w:tcW w:w="1415" w:type="dxa"/>
          </w:tcPr>
          <w:tcPr/>
          <w:p>
            <w:pPr>
              <w:spacing w:after="0" w:line="240" w:lineRule="auto"/>
              <w:pStyle w:val="Compact"/>
              <w:jc w:val="right"/>
            </w:pPr>
            <w:r>
              <w:rPr>
                <w:sz w:val="20"/>
                <w:szCs w:val="20"/>
              </w:rPr>
              <w:t xml:space="preserve">-7.5 (-10.2, -4.9)</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right"/>
            </w:pPr>
            <w:r>
              <w:rPr>
                <w:sz w:val="20"/>
                <w:szCs w:val="20"/>
              </w:rPr>
              <w:t xml:space="preserve">17.6</w:t>
            </w:r>
          </w:p>
        </w:tc>
        <w:tc>
          <w:tcPr>
            <w:tcW w:w="1059" w:type="dxa"/>
          </w:tcPr>
          <w:tcPr/>
          <w:p>
            <w:pPr>
              <w:spacing w:after="0" w:line="240" w:lineRule="auto"/>
              <w:pStyle w:val="Compact"/>
              <w:jc w:val="left"/>
            </w:pPr>
            <w:r>
              <w:rPr>
                <w:sz w:val="20"/>
                <w:szCs w:val="20"/>
              </w:rPr>
              <w:t xml:space="preserve">26 Jul, 19:30</w:t>
            </w:r>
          </w:p>
        </w:tc>
        <w:tc>
          <w:tcPr>
            <w:tcW w:w="1439" w:type="dxa"/>
          </w:tcPr>
          <w:tcPr/>
          <w:p>
            <w:pPr>
              <w:spacing w:after="0" w:line="240" w:lineRule="auto"/>
              <w:pStyle w:val="Compact"/>
              <w:jc w:val="right"/>
            </w:pPr>
            <w:r>
              <w:rPr>
                <w:sz w:val="20"/>
                <w:szCs w:val="20"/>
              </w:rPr>
              <w:t xml:space="preserve">-8.1 (-8.8, -7.4)</w:t>
            </w:r>
          </w:p>
        </w:tc>
        <w:tc>
          <w:tcPr>
            <w:tcW w:w="1412" w:type="dxa"/>
          </w:tcPr>
          <w:tcPr/>
          <w:p>
            <w:pPr>
              <w:spacing w:after="0" w:line="240" w:lineRule="auto"/>
              <w:pStyle w:val="Compact"/>
              <w:jc w:val="right"/>
            </w:pPr>
            <w:r>
              <w:rPr>
                <w:sz w:val="20"/>
                <w:szCs w:val="20"/>
              </w:rPr>
              <w:t xml:space="preserve">-8.3 (-9.4, -7.2)</w:t>
            </w:r>
          </w:p>
        </w:tc>
        <w:tc>
          <w:tcPr>
            <w:tcW w:w="1412" w:type="dxa"/>
          </w:tcPr>
          <w:tcPr/>
          <w:p>
            <w:pPr>
              <w:spacing w:after="0" w:line="240" w:lineRule="auto"/>
              <w:pStyle w:val="Compact"/>
              <w:jc w:val="right"/>
            </w:pPr>
            <w:r>
              <w:rPr>
                <w:sz w:val="20"/>
                <w:szCs w:val="20"/>
              </w:rPr>
              <w:t xml:space="preserve">-6.8 (-7.9, -5.7)</w:t>
            </w:r>
          </w:p>
        </w:tc>
        <w:tc>
          <w:tcPr>
            <w:tcW w:w="1385" w:type="dxa"/>
          </w:tcPr>
          <w:tcPr/>
          <w:p>
            <w:pPr>
              <w:spacing w:after="0" w:line="240" w:lineRule="auto"/>
              <w:pStyle w:val="Compact"/>
              <w:jc w:val="right"/>
            </w:pPr>
            <w:r>
              <w:rPr>
                <w:sz w:val="20"/>
                <w:szCs w:val="20"/>
              </w:rPr>
              <w:t xml:space="preserve">-3.8 (-4.6, -3.0)</w:t>
            </w:r>
          </w:p>
        </w:tc>
        <w:tc>
          <w:tcPr>
            <w:tcW w:w="1415" w:type="dxa"/>
          </w:tcPr>
          <w:tcPr/>
          <w:p>
            <w:pPr>
              <w:spacing w:after="0" w:line="240" w:lineRule="auto"/>
              <w:pStyle w:val="Compact"/>
              <w:jc w:val="right"/>
            </w:pPr>
            <w:r>
              <w:rPr>
                <w:sz w:val="20"/>
                <w:szCs w:val="20"/>
              </w:rPr>
              <w:t xml:space="preserve">-7.2 (-8.7, -5.7)</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right"/>
            </w:pPr>
            <w:r>
              <w:rPr>
                <w:sz w:val="20"/>
                <w:szCs w:val="20"/>
              </w:rPr>
              <w:t xml:space="preserve">14.5</w:t>
            </w:r>
          </w:p>
        </w:tc>
        <w:tc>
          <w:tcPr>
            <w:tcW w:w="1059" w:type="dxa"/>
          </w:tcPr>
          <w:tcPr/>
          <w:p>
            <w:pPr>
              <w:spacing w:after="0" w:line="240" w:lineRule="auto"/>
              <w:pStyle w:val="Compact"/>
              <w:jc w:val="left"/>
            </w:pPr>
            <w:r>
              <w:rPr>
                <w:sz w:val="20"/>
                <w:szCs w:val="20"/>
              </w:rPr>
              <w:t xml:space="preserve">10 Aug, 13:15</w:t>
            </w:r>
          </w:p>
        </w:tc>
        <w:tc>
          <w:tcPr>
            <w:tcW w:w="1439" w:type="dxa"/>
          </w:tcPr>
          <w:tcPr/>
          <w:p>
            <w:pPr>
              <w:spacing w:after="0" w:line="240" w:lineRule="auto"/>
              <w:pStyle w:val="Compact"/>
              <w:jc w:val="right"/>
            </w:pPr>
            <w:r>
              <w:rPr>
                <w:sz w:val="20"/>
                <w:szCs w:val="20"/>
              </w:rPr>
              <w:t xml:space="preserve">-1.2 (-1.6, -0.9)</w:t>
            </w:r>
          </w:p>
        </w:tc>
        <w:tc>
          <w:tcPr>
            <w:tcW w:w="1412" w:type="dxa"/>
          </w:tcPr>
          <w:tcPr/>
          <w:p>
            <w:pPr>
              <w:spacing w:after="0" w:line="240" w:lineRule="auto"/>
              <w:pStyle w:val="Compact"/>
              <w:jc w:val="right"/>
            </w:pPr>
            <w:r>
              <w:rPr>
                <w:sz w:val="20"/>
                <w:szCs w:val="20"/>
              </w:rPr>
              <w:t xml:space="preserve">-1.6 (-2.0, -1.2)</w:t>
            </w:r>
          </w:p>
        </w:tc>
        <w:tc>
          <w:tcPr>
            <w:tcW w:w="1412" w:type="dxa"/>
          </w:tcPr>
          <w:tcPr/>
          <w:p>
            <w:pPr>
              <w:spacing w:after="0" w:line="240" w:lineRule="auto"/>
              <w:pStyle w:val="Compact"/>
              <w:jc w:val="right"/>
            </w:pPr>
            <w:r>
              <w:rPr>
                <w:sz w:val="20"/>
                <w:szCs w:val="20"/>
              </w:rPr>
              <w:t xml:space="preserve">-1.2 (-1.7, -0.8)</w:t>
            </w:r>
          </w:p>
        </w:tc>
        <w:tc>
          <w:tcPr>
            <w:tcW w:w="1385" w:type="dxa"/>
          </w:tcPr>
          <w:tcPr/>
          <w:p>
            <w:pPr>
              <w:spacing w:after="0" w:line="240" w:lineRule="auto"/>
              <w:pStyle w:val="Compact"/>
              <w:jc w:val="right"/>
            </w:pPr>
            <w:r>
              <w:rPr>
                <w:sz w:val="20"/>
                <w:szCs w:val="20"/>
              </w:rPr>
              <w:t xml:space="preserve">+0.3 (-0.1, +0.7)</w:t>
            </w:r>
          </w:p>
        </w:tc>
        <w:tc>
          <w:tcPr>
            <w:tcW w:w="1415" w:type="dxa"/>
          </w:tcPr>
          <w:tcPr/>
          <w:p>
            <w:pPr>
              <w:spacing w:after="0" w:line="240" w:lineRule="auto"/>
              <w:pStyle w:val="Compact"/>
              <w:jc w:val="right"/>
            </w:pPr>
            <w:r>
              <w:rPr>
                <w:sz w:val="20"/>
                <w:szCs w:val="20"/>
              </w:rPr>
              <w:t xml:space="preserve">-0.8 (-1.2, -0.4)</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right"/>
            </w:pPr>
            <w:r>
              <w:rPr>
                <w:sz w:val="20"/>
                <w:szCs w:val="20"/>
              </w:rPr>
              <w:t xml:space="preserve">14.9</w:t>
            </w:r>
          </w:p>
        </w:tc>
        <w:tc>
          <w:tcPr>
            <w:tcW w:w="1059" w:type="dxa"/>
          </w:tcPr>
          <w:tcPr/>
          <w:p>
            <w:pPr>
              <w:spacing w:after="0" w:line="240" w:lineRule="auto"/>
              <w:pStyle w:val="Compact"/>
              <w:jc w:val="left"/>
            </w:pPr>
            <w:r>
              <w:rPr>
                <w:sz w:val="20"/>
                <w:szCs w:val="20"/>
              </w:rPr>
              <w:t xml:space="preserve">10 Aug, 13:15</w:t>
            </w:r>
          </w:p>
        </w:tc>
        <w:tc>
          <w:tcPr>
            <w:tcW w:w="1439" w:type="dxa"/>
          </w:tcPr>
          <w:tcPr/>
          <w:p>
            <w:pPr>
              <w:spacing w:after="0" w:line="240" w:lineRule="auto"/>
              <w:pStyle w:val="Compact"/>
              <w:jc w:val="right"/>
            </w:pPr>
            <w:r>
              <w:rPr>
                <w:sz w:val="20"/>
                <w:szCs w:val="20"/>
              </w:rPr>
              <w:t xml:space="preserve">-1.3 (-1.6, -1.0)</w:t>
            </w:r>
          </w:p>
        </w:tc>
        <w:tc>
          <w:tcPr>
            <w:tcW w:w="1412" w:type="dxa"/>
          </w:tcPr>
          <w:tcPr/>
          <w:p>
            <w:pPr>
              <w:spacing w:after="0" w:line="240" w:lineRule="auto"/>
              <w:pStyle w:val="Compact"/>
              <w:jc w:val="right"/>
            </w:pPr>
            <w:r>
              <w:rPr>
                <w:sz w:val="20"/>
                <w:szCs w:val="20"/>
              </w:rPr>
              <w:t xml:space="preserve">-1.9 (-2.3, -1.5)</w:t>
            </w:r>
          </w:p>
        </w:tc>
        <w:tc>
          <w:tcPr>
            <w:tcW w:w="1412" w:type="dxa"/>
          </w:tcPr>
          <w:tcPr/>
          <w:p>
            <w:pPr>
              <w:spacing w:after="0" w:line="240" w:lineRule="auto"/>
              <w:pStyle w:val="Compact"/>
              <w:jc w:val="right"/>
            </w:pPr>
            <w:r>
              <w:rPr>
                <w:sz w:val="20"/>
                <w:szCs w:val="20"/>
              </w:rPr>
              <w:t xml:space="preserve">-1.2 (-1.7, -0.8)</w:t>
            </w:r>
          </w:p>
        </w:tc>
        <w:tc>
          <w:tcPr>
            <w:tcW w:w="1385" w:type="dxa"/>
          </w:tcPr>
          <w:tcPr/>
          <w:p>
            <w:pPr>
              <w:spacing w:after="0" w:line="240" w:lineRule="auto"/>
              <w:pStyle w:val="Compact"/>
              <w:jc w:val="right"/>
            </w:pPr>
            <w:r>
              <w:rPr>
                <w:sz w:val="20"/>
                <w:szCs w:val="20"/>
              </w:rPr>
              <w:t xml:space="preserve">+0.2 (-0.1, +0.4)</w:t>
            </w:r>
          </w:p>
        </w:tc>
        <w:tc>
          <w:tcPr>
            <w:tcW w:w="1415" w:type="dxa"/>
          </w:tcPr>
          <w:tcPr/>
          <w:p>
            <w:pPr>
              <w:spacing w:after="0" w:line="240" w:lineRule="auto"/>
              <w:pStyle w:val="Compact"/>
              <w:jc w:val="right"/>
            </w:pPr>
            <w:r>
              <w:rPr>
                <w:sz w:val="20"/>
                <w:szCs w:val="20"/>
              </w:rPr>
              <w:t xml:space="preserve">-1.0 (-1.3, -0.6)</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right"/>
            </w:pPr>
            <w:r>
              <w:rPr>
                <w:sz w:val="20"/>
                <w:szCs w:val="20"/>
              </w:rPr>
              <w:t xml:space="preserve">15.8</w:t>
            </w:r>
          </w:p>
        </w:tc>
        <w:tc>
          <w:tcPr>
            <w:tcW w:w="1059" w:type="dxa"/>
          </w:tcPr>
          <w:tcPr/>
          <w:p>
            <w:pPr>
              <w:spacing w:after="0" w:line="240" w:lineRule="auto"/>
              <w:pStyle w:val="Compact"/>
              <w:jc w:val="left"/>
            </w:pPr>
            <w:r>
              <w:rPr>
                <w:sz w:val="20"/>
                <w:szCs w:val="20"/>
              </w:rPr>
              <w:t xml:space="preserve">14 Jul, 19:00</w:t>
            </w:r>
          </w:p>
        </w:tc>
        <w:tc>
          <w:tcPr>
            <w:tcW w:w="1439" w:type="dxa"/>
          </w:tcPr>
          <w:tcPr/>
          <w:p>
            <w:pPr>
              <w:spacing w:after="0" w:line="240" w:lineRule="auto"/>
              <w:pStyle w:val="Compact"/>
              <w:jc w:val="right"/>
            </w:pPr>
            <w:r>
              <w:rPr>
                <w:sz w:val="20"/>
                <w:szCs w:val="20"/>
              </w:rPr>
              <w:t xml:space="preserve">-0.5 (-0.5, -0.4)</w:t>
            </w:r>
          </w:p>
        </w:tc>
        <w:tc>
          <w:tcPr>
            <w:tcW w:w="1412" w:type="dxa"/>
          </w:tcPr>
          <w:tcPr/>
          <w:p>
            <w:pPr>
              <w:spacing w:after="0" w:line="240" w:lineRule="auto"/>
              <w:pStyle w:val="Compact"/>
              <w:jc w:val="right"/>
            </w:pPr>
            <w:r>
              <w:rPr>
                <w:sz w:val="20"/>
                <w:szCs w:val="20"/>
              </w:rPr>
              <w:t xml:space="preserve">-0.7 (-0.8, -0.6)</w:t>
            </w:r>
          </w:p>
        </w:tc>
        <w:tc>
          <w:tcPr>
            <w:tcW w:w="1412" w:type="dxa"/>
          </w:tcPr>
          <w:tcPr/>
          <w:p>
            <w:pPr>
              <w:spacing w:after="0" w:line="240" w:lineRule="auto"/>
              <w:pStyle w:val="Compact"/>
              <w:jc w:val="right"/>
            </w:pPr>
            <w:r>
              <w:rPr>
                <w:sz w:val="20"/>
                <w:szCs w:val="20"/>
              </w:rPr>
              <w:t xml:space="preserve">-0.6 (-0.7, -0.6)</w:t>
            </w:r>
          </w:p>
        </w:tc>
        <w:tc>
          <w:tcPr>
            <w:tcW w:w="1385" w:type="dxa"/>
          </w:tcPr>
          <w:tcPr/>
          <w:p>
            <w:pPr>
              <w:spacing w:after="0" w:line="240" w:lineRule="auto"/>
              <w:pStyle w:val="Compact"/>
              <w:jc w:val="right"/>
            </w:pPr>
            <w:r>
              <w:rPr>
                <w:sz w:val="20"/>
                <w:szCs w:val="20"/>
              </w:rPr>
              <w:t xml:space="preserve">-0.4 (-0.5, -0.4)</w:t>
            </w:r>
          </w:p>
        </w:tc>
        <w:tc>
          <w:tcPr>
            <w:tcW w:w="1415" w:type="dxa"/>
          </w:tcPr>
          <w:tcPr/>
          <w:p>
            <w:pPr>
              <w:spacing w:after="0" w:line="240" w:lineRule="auto"/>
              <w:pStyle w:val="Compact"/>
              <w:jc w:val="right"/>
            </w:pPr>
            <w:r>
              <w:rPr>
                <w:sz w:val="20"/>
                <w:szCs w:val="20"/>
              </w:rPr>
              <w:t xml:space="preserve">-0.6 (-0.7, -0.6)</w:t>
            </w:r>
          </w:p>
        </w:tc>
      </w:tr>
    </w:tbl>
    <w:bookmarkEnd w:id="96"/>
    <w:bookmarkEnd w:id="97"/>
    <w:bookmarkStart w:id="101" w:name="discussion"/>
    <w:p>
      <w:pPr>
        <w:pStyle w:val="Heading1"/>
      </w:pPr>
      <w:r>
        <w:t xml:space="preserve">5 Discussion</w:t>
      </w:r>
    </w:p>
    <w:bookmarkStart w:id="98" w:name="Xf35ff7f4c4c2300ed41bd7805db279f997782dd"/>
    <w:p>
      <w:pPr>
        <w:pStyle w:val="Heading2"/>
      </w:pPr>
      <w:r>
        <w:t xml:space="preserve">5.1 Comparison with other longitudinal time-use findings</w:t>
      </w:r>
    </w:p>
    <w:p>
      <w:pPr>
        <w:pStyle w:val="FirstParagraph"/>
      </w:pPr>
      <w:r>
        <w:t xml:space="preserve">Table 12 compares the patterns found here with those reported for the United States and Japan. The comparison is qualitative: the surveys differ in design, population and definitions, and only presence and activity summaries are compared.</w:t>
      </w:r>
    </w:p>
    <w:p>
      <w:pPr>
        <w:pStyle w:val="BodyText"/>
      </w:pPr>
      <w:r>
        <w:t xml:space="preserve">Table 12. Qualitative comparison with longitudinal time-use findings in other countries.</w:t>
      </w:r>
    </w:p>
    <w:tbl>
      <w:tblPr>
        <w:tblStyle w:val="Table"/>
        <w:tblW w:type="pct" w:w="5000"/>
        <w:tblLayout w:type="fixed"/>
        <w:tblCellMar>
          <w:left w:w="72" w:type="dxa"/>
          <w:right w:w="72" w:type="dxa"/>
        </w:tblCellMar>
        <w:tblLook w:firstRow="1" w:lastRow="0" w:firstColumn="0" w:lastColumn="0" w:noHBand="0" w:noVBand="0" w:val="0020"/>
      </w:tblPr>
      <w:tblGrid>
        <w:gridCol w:w="1649"/>
        <w:gridCol w:w="3598"/>
        <w:gridCol w:w="2641"/>
        <w:gridCol w:w="1472"/>
      </w:tblGrid>
      <w:tr>
        <w:trPr>
          <w:tblHeader w:val="on"/>
        </w:trPr>
        <w:tc>
          <w:tcPr>
            <w:tcW w:w="1649" w:type="dxa"/>
          </w:tcPr>
          <w:tcPr/>
          <w:p>
            <w:pPr>
              <w:spacing w:after="0" w:line="240" w:lineRule="auto"/>
              <w:pStyle w:val="Compact"/>
              <w:jc w:val="left"/>
            </w:pPr>
            <w:r>
              <w:rPr>
                <w:sz w:val="20"/>
                <w:szCs w:val="20"/>
              </w:rPr>
              <w:t xml:space="preserve">Pattern</w:t>
            </w:r>
          </w:p>
        </w:tc>
        <w:tc>
          <w:tcPr>
            <w:tcW w:w="3598" w:type="dxa"/>
          </w:tcPr>
          <w:tcPr/>
          <w:p>
            <w:pPr>
              <w:spacing w:after="0" w:line="240" w:lineRule="auto"/>
              <w:pStyle w:val="Compact"/>
              <w:jc w:val="left"/>
            </w:pPr>
            <w:r>
              <w:rPr>
                <w:sz w:val="20"/>
                <w:szCs w:val="20"/>
              </w:rPr>
              <w:t xml:space="preserve">This study (Canada, 2005–2022)</w:t>
            </w:r>
          </w:p>
        </w:tc>
        <w:tc>
          <w:tcPr>
            <w:tcW w:w="2641" w:type="dxa"/>
          </w:tcPr>
          <w:tcPr/>
          <w:p>
            <w:pPr>
              <w:spacing w:after="0" w:line="240" w:lineRule="auto"/>
              <w:pStyle w:val="Compact"/>
              <w:jc w:val="left"/>
            </w:pPr>
            <w:r>
              <w:rPr>
                <w:sz w:val="20"/>
                <w:szCs w:val="20"/>
              </w:rPr>
              <w:t xml:space="preserve">Other countries</w:t>
            </w:r>
          </w:p>
        </w:tc>
        <w:tc>
          <w:tcPr>
            <w:tcW w:w="1472" w:type="dxa"/>
          </w:tcPr>
          <w:tcPr/>
          <w:p>
            <w:pPr>
              <w:spacing w:after="0" w:line="240" w:lineRule="auto"/>
              <w:pStyle w:val="Compact"/>
              <w:jc w:val="left"/>
            </w:pPr>
            <w:r>
              <w:rPr>
                <w:sz w:val="20"/>
                <w:szCs w:val="20"/>
              </w:rPr>
              <w:t xml:space="preserve">Agree or differ</w:t>
            </w:r>
          </w:p>
        </w:tc>
      </w:tr>
      <w:tr>
        <w:tc>
          <w:tcPr>
            <w:tcW w:w="1649" w:type="dxa"/>
          </w:tcPr>
          <w:tcPr/>
          <w:p>
            <w:pPr>
              <w:spacing w:after="0" w:line="240" w:lineRule="auto"/>
              <w:pStyle w:val="Compact"/>
              <w:jc w:val="left"/>
            </w:pPr>
            <w:r>
              <w:rPr>
                <w:sz w:val="20"/>
                <w:szCs w:val="20"/>
              </w:rPr>
              <w:t xml:space="preserve">Time at home over the pre-pandemic years</w:t>
            </w:r>
          </w:p>
        </w:tc>
        <w:tc>
          <w:tcPr>
            <w:tcW w:w="3598" w:type="dxa"/>
          </w:tcPr>
          <w:tcPr/>
          <w:p>
            <w:pPr>
              <w:spacing w:after="0" w:line="240" w:lineRule="auto"/>
              <w:pStyle w:val="Compact"/>
              <w:jc w:val="left"/>
            </w:pPr>
            <w:r>
              <w:rPr>
                <w:sz w:val="20"/>
                <w:szCs w:val="20"/>
              </w:rPr>
              <w:t xml:space="preserve">Nearly flat: 15.6 to 16.2 h per weekday in 2005, 2010 and 2015</w:t>
            </w:r>
          </w:p>
        </w:tc>
        <w:tc>
          <w:tcPr>
            <w:tcW w:w="2641" w:type="dxa"/>
          </w:tcPr>
          <w:tcPr/>
          <w:p>
            <w:pPr>
              <w:spacing w:after="0" w:line="240" w:lineRule="auto"/>
              <w:pStyle w:val="Compact"/>
              <w:jc w:val="left"/>
            </w:pPr>
            <w:r>
              <w:rPr>
                <w:sz w:val="20"/>
                <w:szCs w:val="20"/>
              </w:rPr>
              <w:t xml:space="preserve">United States, 2003 to 2012: more time at home [18]</w:t>
            </w:r>
          </w:p>
        </w:tc>
        <w:tc>
          <w:tcPr>
            <w:tcW w:w="1472" w:type="dxa"/>
          </w:tcPr>
          <w:tcPr/>
          <w:p>
            <w:pPr>
              <w:spacing w:after="0" w:line="240" w:lineRule="auto"/>
              <w:pStyle w:val="Compact"/>
              <w:jc w:val="left"/>
            </w:pPr>
            <w:r>
              <w:rPr>
                <w:sz w:val="20"/>
                <w:szCs w:val="20"/>
              </w:rPr>
              <w:t xml:space="preserve">Differ</w:t>
            </w:r>
          </w:p>
        </w:tc>
      </w:tr>
      <w:tr>
        <w:tc>
          <w:tcPr>
            <w:tcW w:w="1649" w:type="dxa"/>
          </w:tcPr>
          <w:tcPr/>
          <w:p>
            <w:pPr>
              <w:spacing w:after="0" w:line="240" w:lineRule="auto"/>
              <w:pStyle w:val="Compact"/>
              <w:jc w:val="left"/>
            </w:pPr>
            <w:r>
              <w:rPr>
                <w:sz w:val="20"/>
                <w:szCs w:val="20"/>
              </w:rPr>
              <w:t xml:space="preserve">Change after the COVID-19 pandemic</w:t>
            </w:r>
          </w:p>
        </w:tc>
        <w:tc>
          <w:tcPr>
            <w:tcW w:w="3598" w:type="dxa"/>
          </w:tcPr>
          <w:tcPr/>
          <w:p>
            <w:pPr>
              <w:spacing w:after="0" w:line="240" w:lineRule="auto"/>
              <w:pStyle w:val="Compact"/>
              <w:jc w:val="left"/>
            </w:pPr>
            <w:r>
              <w:rPr>
                <w:sz w:val="20"/>
                <w:szCs w:val="20"/>
              </w:rPr>
              <w:t xml:space="preserve">Weekday presence +1.5 to 2.3 h in 2022, mostly during working hours</w:t>
            </w:r>
          </w:p>
        </w:tc>
        <w:tc>
          <w:tcPr>
            <w:tcW w:w="2641" w:type="dxa"/>
          </w:tcPr>
          <w:tcPr/>
          <w:p>
            <w:pPr>
              <w:spacing w:after="0" w:line="240" w:lineRule="auto"/>
              <w:pStyle w:val="Compact"/>
              <w:jc w:val="left"/>
            </w:pPr>
            <w:r>
              <w:rPr>
                <w:sz w:val="20"/>
                <w:szCs w:val="20"/>
              </w:rPr>
              <w:t xml:space="preserve">Japan, 2021: less time on work, sleep and housework, lower night-time sleep probability [20]</w:t>
            </w:r>
          </w:p>
        </w:tc>
        <w:tc>
          <w:tcPr>
            <w:tcW w:w="1472" w:type="dxa"/>
          </w:tcPr>
          <w:tcPr/>
          <w:p>
            <w:pPr>
              <w:spacing w:after="0" w:line="240" w:lineRule="auto"/>
              <w:pStyle w:val="Compact"/>
              <w:jc w:val="left"/>
            </w:pPr>
            <w:r>
              <w:rPr>
                <w:sz w:val="20"/>
                <w:szCs w:val="20"/>
              </w:rPr>
              <w:t xml:space="preserve">Both show a post-pandemic change in daily structure; the measures differ</w:t>
            </w:r>
          </w:p>
        </w:tc>
      </w:tr>
      <w:tr>
        <w:tc>
          <w:tcPr>
            <w:tcW w:w="1649" w:type="dxa"/>
          </w:tcPr>
          <w:tcPr/>
          <w:p>
            <w:pPr>
              <w:spacing w:after="0" w:line="240" w:lineRule="auto"/>
              <w:pStyle w:val="Compact"/>
              <w:jc w:val="left"/>
            </w:pPr>
            <w:r>
              <w:rPr>
                <w:sz w:val="20"/>
                <w:szCs w:val="20"/>
              </w:rPr>
              <w:t xml:space="preserve">Weekday–weekend difference</w:t>
            </w:r>
          </w:p>
        </w:tc>
        <w:tc>
          <w:tcPr>
            <w:tcW w:w="3598" w:type="dxa"/>
          </w:tcPr>
          <w:tcPr/>
          <w:p>
            <w:pPr>
              <w:spacing w:after="0" w:line="240" w:lineRule="auto"/>
              <w:pStyle w:val="Compact"/>
              <w:jc w:val="left"/>
            </w:pPr>
            <w:r>
              <w:rPr>
                <w:sz w:val="20"/>
                <w:szCs w:val="20"/>
              </w:rPr>
              <w:t xml:space="preserve">1.4 to 1.8 h before 2022, 0.6 h in 2022</w:t>
            </w:r>
          </w:p>
        </w:tc>
        <w:tc>
          <w:tcPr>
            <w:tcW w:w="2641" w:type="dxa"/>
          </w:tcPr>
          <w:tcPr/>
          <w:p>
            <w:pPr>
              <w:spacing w:after="0" w:line="240" w:lineRule="auto"/>
              <w:pStyle w:val="Compact"/>
              <w:jc w:val="left"/>
            </w:pPr>
            <w:r>
              <w:rPr>
                <w:sz w:val="20"/>
                <w:szCs w:val="20"/>
              </w:rPr>
              <w:t xml:space="preserve">United States: weekend presence higher than weekday presence [15]</w:t>
            </w:r>
          </w:p>
        </w:tc>
        <w:tc>
          <w:tcPr>
            <w:tcW w:w="1472" w:type="dxa"/>
          </w:tcPr>
          <w:tcPr/>
          <w:p>
            <w:pPr>
              <w:spacing w:after="0" w:line="240" w:lineRule="auto"/>
              <w:pStyle w:val="Compact"/>
              <w:jc w:val="left"/>
            </w:pPr>
            <w:r>
              <w:rPr>
                <w:sz w:val="20"/>
                <w:szCs w:val="20"/>
              </w:rPr>
              <w:t xml:space="preserve">Agree before 2022; the gap narrowed in 2022</w:t>
            </w:r>
          </w:p>
        </w:tc>
      </w:tr>
      <w:tr>
        <w:tc>
          <w:tcPr>
            <w:tcW w:w="1649" w:type="dxa"/>
          </w:tcPr>
          <w:tcPr/>
          <w:p>
            <w:pPr>
              <w:spacing w:after="0" w:line="240" w:lineRule="auto"/>
              <w:pStyle w:val="Compact"/>
              <w:jc w:val="left"/>
            </w:pPr>
            <w:r>
              <w:rPr>
                <w:sz w:val="20"/>
                <w:szCs w:val="20"/>
              </w:rPr>
              <w:t xml:space="preserve">Household size</w:t>
            </w:r>
          </w:p>
        </w:tc>
        <w:tc>
          <w:tcPr>
            <w:tcW w:w="3598" w:type="dxa"/>
          </w:tcPr>
          <w:tcPr/>
          <w:p>
            <w:pPr>
              <w:spacing w:after="0" w:line="240" w:lineRule="auto"/>
              <w:pStyle w:val="Compact"/>
              <w:jc w:val="left"/>
            </w:pPr>
            <w:r>
              <w:rPr>
                <w:sz w:val="20"/>
                <w:szCs w:val="20"/>
              </w:rPr>
              <w:t xml:space="preserve">Little effect on the share of members at home</w:t>
            </w:r>
          </w:p>
        </w:tc>
        <w:tc>
          <w:tcPr>
            <w:tcW w:w="2641" w:type="dxa"/>
          </w:tcPr>
          <w:tcPr/>
          <w:p>
            <w:pPr>
              <w:spacing w:after="0" w:line="240" w:lineRule="auto"/>
              <w:pStyle w:val="Compact"/>
              <w:jc w:val="left"/>
            </w:pPr>
            <w:r>
              <w:rPr>
                <w:sz w:val="20"/>
                <w:szCs w:val="20"/>
              </w:rPr>
              <w:t xml:space="preserve">Not compared</w:t>
            </w:r>
          </w:p>
        </w:tc>
        <w:tc>
          <w:tcPr>
            <w:tcW w:w="1472" w:type="dxa"/>
          </w:tcPr>
          <w:tcPr/>
          <w:p>
            <w:pPr>
              <w:spacing w:after="0" w:line="240" w:lineRule="auto"/>
              <w:pStyle w:val="Compact"/>
              <w:jc w:val="left"/>
            </w:pPr>
            <w:r>
              <w:rPr>
                <w:sz w:val="20"/>
                <w:szCs w:val="20"/>
              </w:rPr>
              <w:t xml:space="preserve">—</w:t>
            </w:r>
          </w:p>
        </w:tc>
      </w:tr>
      <w:tr>
        <w:tc>
          <w:tcPr>
            <w:tcW w:w="1649" w:type="dxa"/>
          </w:tcPr>
          <w:tcPr/>
          <w:p>
            <w:pPr>
              <w:spacing w:after="0" w:line="240" w:lineRule="auto"/>
              <w:pStyle w:val="Compact"/>
              <w:jc w:val="left"/>
            </w:pPr>
            <w:r>
              <w:rPr>
                <w:sz w:val="20"/>
                <w:szCs w:val="20"/>
              </w:rPr>
              <w:t xml:space="preserve">Timing of internal gains</w:t>
            </w:r>
          </w:p>
        </w:tc>
        <w:tc>
          <w:tcPr>
            <w:tcW w:w="3598" w:type="dxa"/>
          </w:tcPr>
          <w:tcPr/>
          <w:p>
            <w:pPr>
              <w:spacing w:after="0" w:line="240" w:lineRule="auto"/>
              <w:pStyle w:val="Compact"/>
              <w:jc w:val="left"/>
            </w:pPr>
            <w:r>
              <w:rPr>
                <w:sz w:val="20"/>
                <w:szCs w:val="20"/>
              </w:rPr>
              <w:t xml:space="preserve">Metabolic rate about 70 W at night and 110–133 W by day, against a constant 95 W default</w:t>
            </w:r>
          </w:p>
        </w:tc>
        <w:tc>
          <w:tcPr>
            <w:tcW w:w="2641" w:type="dxa"/>
          </w:tcPr>
          <w:tcPr/>
          <w:p>
            <w:pPr>
              <w:spacing w:after="0" w:line="240" w:lineRule="auto"/>
              <w:pStyle w:val="Compact"/>
              <w:jc w:val="left"/>
            </w:pPr>
            <w:r>
              <w:rPr>
                <w:sz w:val="20"/>
                <w:szCs w:val="20"/>
              </w:rPr>
              <w:t xml:space="preserve">—</w:t>
            </w:r>
          </w:p>
        </w:tc>
        <w:tc>
          <w:tcPr>
            <w:tcW w:w="1472" w:type="dxa"/>
          </w:tcPr>
          <w:tcPr/>
          <w:p>
            <w:pPr>
              <w:spacing w:after="0" w:line="240" w:lineRule="auto"/>
              <w:pStyle w:val="Compact"/>
              <w:jc w:val="left"/>
            </w:pPr>
            <w:r>
              <w:rPr>
                <w:sz w:val="20"/>
                <w:szCs w:val="20"/>
              </w:rPr>
              <w:t xml:space="preserve">—</w:t>
            </w:r>
          </w:p>
        </w:tc>
      </w:tr>
    </w:tbl>
    <w:p>
      <w:pPr>
        <w:pStyle w:val="BodyText"/>
      </w:pPr>
      <w:r>
        <w:t xml:space="preserve">Two patterns stand out as visible only across several Canadian cycles. First, presence did not rise from 2005 to 2015, unlike the rise in time at home reported for the United States over a similar period [18]; a single-cycle model fitted to any of the three pre-pandemic cycles would therefore describe the others well. Second, the 2022 cycle departs from all earlier ones, with more presence during weekday working hours and a smaller weekday–weekend difference, which matches the post-pandemic change in daily structure reported for Japan [20]. A schedule set built from a pre-2020 survey would miss this shift, while the projected 2025 cohort, whose population differs from the 2022 respondents, returns towards the pre-pandemic level. The difference between the Default and all survey cycles is one of timing: over a whole day the Default mean occupancy and mean metabolic rate are close to the survey values, but the Default places presence and metabolic heat at the wrong hours and ignores the weekday–weekend difference.</w:t>
      </w:r>
    </w:p>
    <w:bookmarkEnd w:id="98"/>
    <w:bookmarkStart w:id="99" w:name="X81c411873433203c4161969cd1aa56617717923"/>
    <w:p>
      <w:pPr>
        <w:pStyle w:val="Heading2"/>
      </w:pPr>
      <w:r>
        <w:t xml:space="preserve">5.2 What the projection and the simulations add</w:t>
      </w:r>
    </w:p>
    <w:p>
      <w:pPr>
        <w:pStyle w:val="FirstParagraph"/>
      </w:pPr>
      <w:r>
        <w:t xml:space="preserve">The hindcast does not support the claim that the cluster-based projection forecasts the population better than carrying the last census forward: over five years and averaged over the variables, the 2016 population was closer to the 2021 Census than any of the projections tested, and the clusters added nothing measurable to a single mean drift. Over the four years from 2021 to 2025 the projected cohort stays close to the 2021 population, and it moved by less than 0.005 on any variable across the settings tested. The 2025 cohort is therefore best read as the 2021 population with a small, model-based demographic drift, matched to the 2022 diaries; its value for simulation lies in providing complete, dwelling-conditioned households for a year without a census, not in anticipating demographic change. A projection that should beat carry-forward would need information beyond past census trends, such as population projections or post-2021 survey data.</w:t>
      </w:r>
    </w:p>
    <w:p>
      <w:pPr>
        <w:pStyle w:val="BodyText"/>
      </w:pPr>
      <w:r>
        <w:t xml:space="preserve">The simulations show that, in this climate and in these buildings, replacing the Default schedule with survey-based household schedules raises heating by 6 to 16 % and lowers cooling by 1 to 9 % in houses, changes both by less than 7 % in apartment buildings, and lowers the peak cooling demand of houses by 4 to 10 % without moving its timing. Among the cycles, only the post-pandemic 2022 schedules are clearly distinguishable from the others. The differences are indicative of the direction and size of the occupancy effect for Montreal and for these archetypes; they are not proposed as correction factors for building codes, and the study covers one climate zone only. The size of the effect also depends on the reference: for the house NUs the Default is an apartment schedule (Section 3.6).</w:t>
      </w:r>
    </w:p>
    <w:bookmarkEnd w:id="99"/>
    <w:bookmarkStart w:id="100" w:name="limitations"/>
    <w:p>
      <w:pPr>
        <w:pStyle w:val="Heading2"/>
      </w:pPr>
      <w:r>
        <w:t xml:space="preserve">5.3 Limitations</w:t>
      </w:r>
    </w:p>
    <w:p>
      <w:pPr>
        <w:pStyle w:val="FirstParagraph"/>
      </w:pPr>
      <w:r>
        <w:t xml:space="preserve">The study has the following limitations. The schedules are unweighted and national; a Quebec comparison is given (Section 2.4) but no weighted estimates. Only Montreal (climate zone 6A) and one weather file were simulated, with fixed envelopes and ideal-loads systems. All buildings share one high-performance envelope, so the house heating intensities are low (6 to 13 kWh/m² under the Default) and internal gains weigh more in their heat balance than they would in older, less insulated housing; the relative effects reported here may therefore be larger than for the existing Canadian stock. The 2025 cohort holds the dwelling stock at its 2021 composition and extrapolates demographic change from 2006–2021; it cannot anticipate changes after 2021 that the census did not yet show. The dwelling-type classifiers were trained on the 2006 and 2011 Census. Census persons whose age was not available were removed before matching (2.8 % of the sampled 2010 persons and 5.4 % of the sampled 2022 persons), which left 39 and 119 households with no member; 2005 and 2015 are unaffected. In the pooled files, 70,281 households carry more than one dwelling-type label and were kept. Children under 15 have no diary and are not counted in the occupancy fraction. Each building receives the schedule of one household, so the apartment buildings do not represent a mix of households. The 30-draw limit left 29 of 60 heating and cooling intervals wider than the 1 % target (up to 4.7 % of the mean). The reason for the low 2010 occupancy in the submitted version, a link to the 2011 NHS weighting, was wrong on chronology (the 2010 GSS was collected before the NHS) and is withdrawn; in the rebuilt files 2010 is about 0.5 h per weekday below 2005 and 2015, and the cause of this smaller difference was not identified.</w:t>
      </w:r>
    </w:p>
    <w:bookmarkEnd w:id="100"/>
    <w:bookmarkEnd w:id="101"/>
    <w:bookmarkStart w:id="102" w:name="conclusion"/>
    <w:p>
      <w:pPr>
        <w:pStyle w:val="Heading1"/>
      </w:pPr>
      <w:r>
        <w:t xml:space="preserve">6 Conclusion</w:t>
      </w:r>
    </w:p>
    <w:p>
      <w:pPr>
        <w:pStyle w:val="FirstParagraph"/>
      </w:pPr>
      <w:r>
        <w:t xml:space="preserve">This study harmonised four Canadian time-use cycles, from 2005 to 2022, into household presence, activity and metabolic schedules with the same definitions in every cycle, and projected the household population to 2025. Presence at home was nearly constant from 2005 to 2015 and rose in 2022, mostly during weekday working hours, a change that a schedule built from any single pre-pandemic survey would miss. A hindcast against the held-out 2021 Census found that the projection was not closer to the census than carrying the previous cycle forward, so the 2025 cohort is a scenario close to the 2021 population rather than a forecast of demographic change. In fixed Montreal buildings with one high-performance envelope, the survey-based schedules raised heating by 6 to 16 % and lowered cooling by 1 to 9 % in houses relative to a standard apartment schedule, changed both by less than 7 % in apartment buildings, and left the timing of the cooling peak unchanged. These effects come from the timing of presence and internal gains rather than from their daily totals, which supports the use of time-resolved, survey-based household schedules in residential simulation, updated as new survey cycles appear.</w:t>
      </w:r>
    </w:p>
    <w:bookmarkEnd w:id="102"/>
    <w:bookmarkStart w:id="103" w:name="credit-authorship-contribution-statement"/>
    <w:p>
      <w:pPr>
        <w:pStyle w:val="Heading1"/>
      </w:pPr>
      <w:r>
        <w:t xml:space="preserve">CRediT authorship contribution statement</w:t>
      </w:r>
    </w:p>
    <w:p>
      <w:pPr>
        <w:pStyle w:val="FirstParagraph"/>
      </w:pPr>
      <w:r>
        <w:rPr>
          <w:b/>
          <w:bCs/>
        </w:rPr>
        <w:t xml:space="preserve">Orcun Koral Iseri:</w:t>
      </w:r>
      <w:r>
        <w:t xml:space="preserve"> </w:t>
      </w:r>
      <w:r>
        <w:t xml:space="preserve">Conceptualization, Methodology, Software, Formal analysis, Investigation, Data curation, Validation, Visualization, Writing – original draft.</w:t>
      </w:r>
      <w:r>
        <w:t xml:space="preserve"> </w:t>
      </w:r>
      <w:r>
        <w:rPr>
          <w:b/>
          <w:bCs/>
        </w:rPr>
        <w:t xml:space="preserve">Caroline Hachem-Vermette:</w:t>
      </w:r>
      <w:r>
        <w:t xml:space="preserve"> </w:t>
      </w:r>
      <w:r>
        <w:t xml:space="preserve">Conceptualization, Supervision, Funding acquisition, Resources, Writing – review and editing.</w:t>
      </w:r>
    </w:p>
    <w:bookmarkEnd w:id="103"/>
    <w:bookmarkStart w:id="104"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04"/>
    <w:bookmarkStart w:id="105" w:name="funding"/>
    <w:p>
      <w:pPr>
        <w:pStyle w:val="Heading1"/>
      </w:pPr>
      <w:r>
        <w:t xml:space="preserve">Funding</w:t>
      </w:r>
    </w:p>
    <w:p>
      <w:pPr>
        <w:pStyle w:val="FirstParagraph"/>
      </w:pPr>
      <w:r>
        <w:t xml:space="preserve">This work was supported by the Natural Sciences and Engineering Research Council of Canada (NSERC) through a Discovery Grant, and by the Volt-Age Seed Fund, Concordia University. The funders had no role in the study design, in the collection, analysis and interpretation of data, in the writing of the article, or in the decision to submit it for publication.</w:t>
      </w:r>
    </w:p>
    <w:bookmarkEnd w:id="105"/>
    <w:bookmarkStart w:id="106" w:name="data-availability"/>
    <w:p>
      <w:pPr>
        <w:pStyle w:val="Heading1"/>
      </w:pPr>
      <w:r>
        <w:t xml:space="preserve">Data availability</w:t>
      </w:r>
    </w:p>
    <w:p>
      <w:pPr>
        <w:pStyle w:val="FirstParagraph"/>
      </w:pPr>
      <w:r>
        <w:t xml:space="preserve">This study uses the Statistics Canada General Social Survey time-use public-use microdata files (2005, 2010, 2015 and 2022 cycles) and the Census of Population public-use microdata files (2006, 2011, 2016 and 2021). These files are available from Statistics Canada under its licence terms, which do not allow the authors to redistribute them. The derived schedules, building model files and scripts that support the findings of this study are available from the corresponding author upon reasonable request.</w:t>
      </w:r>
    </w:p>
    <w:bookmarkEnd w:id="106"/>
    <w:bookmarkStart w:id="107" w:name="Xa6ff8e54395812bd8a1d49fa16c25a1d6a46bbb"/>
    <w:p>
      <w:pPr>
        <w:pStyle w:val="Heading1"/>
      </w:pPr>
      <w:r>
        <w:t xml:space="preserve">Declaration of generative AI in the writing process</w:t>
      </w:r>
    </w:p>
    <w:p>
      <w:pPr>
        <w:pStyle w:val="FirstParagraph"/>
      </w:pPr>
      <w:r>
        <w:t xml:space="preserve">During the preparation of this work the authors used Claude (Anthropic) to assist with writing analysis code and to improve the grammar and readability of the text, and Gemini (Google) to prepare literature research reports. Every source named in the research reports was checked by the authors against the publisher record before use. After using these tools, the authors reviewed and edited the content as needed and take full responsibility for the content of the published article.</w:t>
      </w:r>
    </w:p>
    <w:bookmarkEnd w:id="107"/>
    <w:bookmarkStart w:id="108" w:name="references"/>
    <w:p>
      <w:pPr>
        <w:pStyle w:val="Heading1"/>
      </w:pPr>
      <w:r>
        <w:t xml:space="preserve">References</w:t>
      </w:r>
    </w:p>
    <w:p>
      <w:pPr>
        <w:pStyle w:val="FirstParagraph"/>
      </w:pPr>
      <w:r>
        <w:t xml:space="preserve">[1] M. Vellei, E. Azar, K. Bandurski, C. Berger, S. Carlucci, B. Dong, M. Favero, A. Mahdavi, M. Schweiker, Documenting occupant models for building performance simulation: a state-of-the-art, J. Build. Perform. Simul. 15 (2022) 634–655. https://doi.org/10.1080/19401493.2022.2061050.</w:t>
      </w:r>
    </w:p>
    <w:p>
      <w:pPr>
        <w:pStyle w:val="BodyText"/>
      </w:pPr>
      <w:r>
        <w:t xml:space="preserve">[2] U. Wilke, F. Haldi, D. Robinson, A model of occupants’ activities based on time use survey data, in: Proceedings of Building Simulation 2011: 12th Conference of the International Building Performance Simulation Association, Sydney, 2011.</w:t>
      </w:r>
    </w:p>
    <w:p>
      <w:pPr>
        <w:pStyle w:val="BodyText"/>
      </w:pPr>
      <w:r>
        <w:t xml:space="preserve">[3] M. Osman, M. Ouf, A comprehensive review of time use surveys in modelling occupant presence and behavior: data, methods, and applications, Build. Environ. 196 (2021) 107785. https://doi.org/10.1016/j.buildenv.2021.107785.</w:t>
      </w:r>
    </w:p>
    <w:p>
      <w:pPr>
        <w:pStyle w:val="BodyText"/>
      </w:pPr>
      <w:r>
        <w:t xml:space="preserve">[4] J. Duan, J. He, C.W. Yu, A brief review of modelling methods for occupants’ behaviours in residential buildings, Indoor Built Environ. 35 (2025) 193–210. https://doi.org/10.1177/1420326X251396163.</w:t>
      </w:r>
    </w:p>
    <w:p>
      <w:pPr>
        <w:pStyle w:val="BodyText"/>
      </w:pPr>
      <w:r>
        <w:t xml:space="preserve">[5] T. Hong, D. Yan, S. D’Oca, C. Chen, Ten questions concerning occupant behavior in buildings: the big picture, Build. Environ. 114 (2017) 518–530. https://doi.org/10.1016/j.buildenv.2016.12.006.</w:t>
      </w:r>
    </w:p>
    <w:p>
      <w:pPr>
        <w:pStyle w:val="BodyText"/>
      </w:pPr>
      <w:r>
        <w:t xml:space="preserve">[6] A. Mahdavi, C. Berger, H. Amin, E. Ampatzi, R.K. Andersen, E. Azar, V.M. Barthelmes, M. Favero, J. Hahn, D. Khovalyg, H.N. Knudsen, A. Luna-Navarro, A. Roetzel, F.C. Sangogboye, M. Schweiker, M. Taheri, D. Teli, M. Touchie, S. Verbruggen, The role of occupants in buildings’ energy performance gap: myth or reality?, Sustainability 13 (2021) 3146. https://doi.org/10.3390/su13063146.</w:t>
      </w:r>
    </w:p>
    <w:p>
      <w:pPr>
        <w:pStyle w:val="BodyText"/>
      </w:pPr>
      <w:r>
        <w:t xml:space="preserve">[7] C. Xia, Y. Hu, J. Chen, Community time-activity trajectory modeling based on Markov chain simulation and Dirichlet regression, Comput. Environ. Urban Syst. 100 (2023) 101933. https://doi.org/10.1016/j.compenvurbsys.2022.101933.</w:t>
      </w:r>
    </w:p>
    <w:p>
      <w:pPr>
        <w:pStyle w:val="BodyText"/>
      </w:pPr>
      <w:r>
        <w:t xml:space="preserve">[8] S. Vosoughkhosravi, A. Jafari, Y. Zhu, Application of American time use survey (ATUS) in modelling energy-related occupant-building interactions: a comprehensive review, Energy Build. 294 (2023) 113245. https://doi.org/10.1016/j.enbuild.2023.113245.</w:t>
      </w:r>
    </w:p>
    <w:p>
      <w:pPr>
        <w:pStyle w:val="BodyText"/>
      </w:pPr>
      <w:r>
        <w:t xml:space="preserve">[9] D. Sood, S. Wolf, D. Cali, R.K. Andersen, R. Li, H. Madsen, J. O’Donnell, Room-level domestic occupancy simulation model using time use survey data, J. Build. Perform. Simul. 19 (2025) 564–578. https://doi.org/10.1080/19401493.2025.2465508.</w:t>
      </w:r>
    </w:p>
    <w:p>
      <w:pPr>
        <w:pStyle w:val="BodyText"/>
      </w:pPr>
      <w:r>
        <w:t xml:space="preserve">[10] I. Richardson, M. Thomson, D. Infield, A high-resolution domestic building occupancy model for energy demand simulations, Energy Build. 40 (2008) 1560–1566. https://doi.org/10.1016/j.enbuild.2008.02.006.</w:t>
      </w:r>
    </w:p>
    <w:p>
      <w:pPr>
        <w:pStyle w:val="BodyText"/>
      </w:pPr>
      <w:r>
        <w:t xml:space="preserve">[11] J. Widén, E. Wäckelgård, A high-resolution stochastic model of domestic activity patterns and electricity demand, Appl. Energy 87 (2010) 1880–1892. https://doi.org/10.1016/j.apenergy.2009.11.006.</w:t>
      </w:r>
    </w:p>
    <w:p>
      <w:pPr>
        <w:pStyle w:val="BodyText"/>
      </w:pPr>
      <w:r>
        <w:t xml:space="preserve">[12] C. Gieter, O. Neu, W. Turner, D. Finn, Modelling household occupancy profiles using data mining clustering techniques on time use data, in: Proceedings of Building Simulation 2017, IBPSA, 2017. https://doi.org/10.26868/25222708.2017.478.</w:t>
      </w:r>
    </w:p>
    <w:p>
      <w:pPr>
        <w:pStyle w:val="BodyText"/>
      </w:pPr>
      <w:r>
        <w:t xml:space="preserve">[13] B. Jeong, J. Kim, R. de Dear, Creating household occupancy and energy behavioural profiles using national time use survey data, Energy Build. 252 (2021) 111440. https://doi.org/10.1016/j.enbuild.2021.111440.</w:t>
      </w:r>
    </w:p>
    <w:p>
      <w:pPr>
        <w:pStyle w:val="BodyText"/>
      </w:pPr>
      <w:r>
        <w:t xml:space="preserve">[14] D. Mitra, Y. Chu, K. Cetin, Activity profiles of occupants in residential buildings using the American Time Use Survey data, in: Construction Research Congress 2020, ASCE, 2020. https://doi.org/10.1061/9780784482865.113.</w:t>
      </w:r>
    </w:p>
    <w:p>
      <w:pPr>
        <w:pStyle w:val="BodyText"/>
      </w:pPr>
      <w:r>
        <w:t xml:space="preserve">[15] D. Mitra, N. Steinmetz, Y. Chu, K.S. Cetin, Typical occupancy profiles and behaviors in residential buildings in the United States, Energy Build. 210 (2020) 109713. https://doi.org/10.1016/j.enbuild.2019.109713.</w:t>
      </w:r>
    </w:p>
    <w:p>
      <w:pPr>
        <w:pStyle w:val="BodyText"/>
      </w:pPr>
      <w:r>
        <w:t xml:space="preserve">[16] A. Mylonas, A. Tsangrassoulis, J. Pascual, A systematic review of time use surveys-questionnaires and monitoring variables used to track occupant behaviour in residential buildings, IOP Conf. Ser. Earth Environ. Sci. 1196 (2023) 012102. https://doi.org/10.1088/1755-1315/1196/1/012102.</w:t>
      </w:r>
    </w:p>
    <w:p>
      <w:pPr>
        <w:pStyle w:val="BodyText"/>
      </w:pPr>
      <w:r>
        <w:t xml:space="preserve">[17] D.V.A. Reis, M.G.L.C. Loomans, M. Hajdukiewicz, A systematic literature review on occupant behaviour modelling for residential building performance simulation in future climate change scenarios, Build. Environ. 287 (2026) 113796. https://doi.org/10.1016/j.buildenv.2025.113796.</w:t>
      </w:r>
    </w:p>
    <w:p>
      <w:pPr>
        <w:pStyle w:val="BodyText"/>
      </w:pPr>
      <w:r>
        <w:t xml:space="preserve">[18] A. Sekar, E. Williams, R. Chen, Changes in time use and their effect on energy consumption in the United States, Joule 2 (2018) 521–536. https://doi.org/10.1016/j.joule.2018.01.003.</w:t>
      </w:r>
    </w:p>
    <w:p>
      <w:pPr>
        <w:pStyle w:val="BodyText"/>
      </w:pPr>
      <w:r>
        <w:t xml:space="preserve">[19] B. Anderson, J. Torriti, Explaining shifts in UK electricity demand using time use data from 1974 to 2014, Energy Policy 123 (2018) 544–557. https://doi.org/10.1016/j.enpol.2018.09.025.</w:t>
      </w:r>
    </w:p>
    <w:p>
      <w:pPr>
        <w:pStyle w:val="BodyText"/>
      </w:pPr>
      <w:r>
        <w:t xml:space="preserve">[20] R. Yin, Y. Yamaguchi, A.M. Zajch, H. Uchida, Y. Shimoda, Long-term changes in time use and impacts on residential energy demand, in: Proceedings of ASim2024, the 5th Asia Conference of the IBPSA, Osaka, 2024, pp. 1321–1328. https://doi.org/10.69357/asim2024.1285.</w:t>
      </w:r>
    </w:p>
    <w:p>
      <w:pPr>
        <w:pStyle w:val="BodyText"/>
      </w:pPr>
      <w:r>
        <w:t xml:space="preserve">[21] B. Dias dos Santos, M. Moghadasi, A. Páez, ActiveCA: time use data from the General Social Survey of Canada to study active travel, Environ. Plan. B Urban Anal. City Sci. 52 (2025) 2037–2047. https://doi.org/10.1177/23998083251374724.</w:t>
      </w:r>
    </w:p>
    <w:p>
      <w:pPr>
        <w:pStyle w:val="BodyText"/>
      </w:pPr>
      <w:r>
        <w:t xml:space="preserve">[22] M. Osman, M. Ouf, E. Azar, B. Dong, Stochastic bottom-up load profile generator for Canadian households’ electricity demand, Build. Environ. 241 (2023) 110490. https://doi.org/10.1016/j.buildenv.2023.110490.</w:t>
      </w:r>
    </w:p>
    <w:p>
      <w:pPr>
        <w:pStyle w:val="BodyText"/>
      </w:pPr>
      <w:r>
        <w:t xml:space="preserve">[23] D. Mitra, Y. Chu, K. Cetin, Cluster analysis of occupancy schedules in residential buildings in the United States, Energy Build. 236 (2021) 110791. https://doi.org/10.1016/j.enbuild.2021.110791.</w:t>
      </w:r>
    </w:p>
    <w:p>
      <w:pPr>
        <w:pStyle w:val="BodyText"/>
      </w:pPr>
      <w:r>
        <w:t xml:space="preserve">[24] J. Chen, R. Adhikari, E. Wilson, J. Robertson, A. Fontanini, B. Polly, O. Olawale, Stochastic simulation of occupant-driven energy use in a bottom-up residential building stock model, Appl. Energy 325 (2022) 119890. https://doi.org/10.1016/j.apenergy.2022.119890.</w:t>
      </w:r>
    </w:p>
    <w:p>
      <w:pPr>
        <w:pStyle w:val="BodyText"/>
      </w:pPr>
      <w:r>
        <w:t xml:space="preserve">[25] O.K. Iseri, C. Hachem-Vermette, Residential electricity load shape under changing occupancy: household-level schedules and stock-scale building energy simulation for Canada, 2005–2030, submitted to Energy and Buildings (2026).</w:t>
      </w:r>
    </w:p>
    <w:p>
      <w:pPr>
        <w:pStyle w:val="BodyText"/>
      </w:pPr>
      <w:r>
        <w:t xml:space="preserve">[26] O.K. Iseri, C. Hachem-Vermette, Longitudinal analysis of occupancy-driven energy demand in Canadian residential buildings (2005–2025), in: eSim 2026, IBPSA-Canada, 2026.</w:t>
      </w:r>
    </w:p>
    <w:p>
      <w:pPr>
        <w:pStyle w:val="BodyText"/>
      </w:pPr>
      <w:r>
        <w:t xml:space="preserve">[27] Statistics Canada, National Household Survey User Guide, 2011, Catalogue no. 99-001-X2011001, Ottawa, 2013.</w:t>
      </w:r>
    </w:p>
    <w:p>
      <w:pPr>
        <w:pStyle w:val="BodyText"/>
      </w:pPr>
      <w:r>
        <w:t xml:space="preserve">[28] Statistics Canada, Guide to the Census of Population, 2021, Catalogue no. 98-304-X2021001, 2022. https://www12.statcan.gc.ca/census-recensement/2021/ref/98-304/98-304-x2021001-eng.pdf (accessed February 15, 2026).</w:t>
      </w:r>
    </w:p>
    <w:p>
      <w:pPr>
        <w:pStyle w:val="BodyText"/>
      </w:pPr>
      <w:r>
        <w:t xml:space="preserve">[29] Statistics Canada, General Social Survey – Time Use (GSS), 2022. https://www150.statcan.gc.ca/n1/pub/45-25-0001/index-eng.htm (accessed February 15, 2026).</w:t>
      </w:r>
    </w:p>
    <w:p>
      <w:pPr>
        <w:pStyle w:val="BodyText"/>
      </w:pPr>
      <w:r>
        <w:t xml:space="preserve">[30] Statistics Canada, General Social Survey, Cycle 19: Time Use (2005), Public Use Microdata File Documentation and User’s Guide, Catalogue no. 12M0019GPE, Ottawa, 2006.</w:t>
      </w:r>
    </w:p>
    <w:p>
      <w:pPr>
        <w:pStyle w:val="BodyText"/>
      </w:pPr>
      <w:r>
        <w:t xml:space="preserve">[31] Statistics Canada, General Social Survey, Cycle 29: Time Use (2015), Public Use Microdata File Documentation and User’s Guide, Catalogue no. 89M0034X, Ottawa, 2017.</w:t>
      </w:r>
    </w:p>
    <w:p>
      <w:pPr>
        <w:pStyle w:val="BodyText"/>
      </w:pPr>
      <w:r>
        <w:t xml:space="preserve">[32] S.S. Borysov, J. Rich, F.C. Pereira, How to generate micro-agents? A deep generative modeling approach to population synthesis, Transp. Res. Part C Emerg. Technol. 106 (2019) 73–97. https://doi.org/10.1016/j.trc.2019.07.006.</w:t>
      </w:r>
    </w:p>
    <w:p>
      <w:pPr>
        <w:pStyle w:val="BodyText"/>
      </w:pPr>
      <w:r>
        <w:t xml:space="preserve">[33] M. Johnsen, O. Brandt, S. Garrido, F. Pereira, Population synthesis for urban resident modeling using deep generative models, Neural Comput. Appl. 34 (2021) 4677–4692. https://doi.org/10.1007/s00521-021-06622-2.</w:t>
      </w:r>
    </w:p>
    <w:p>
      <w:pPr>
        <w:pStyle w:val="BodyText"/>
      </w:pPr>
      <w:r>
        <w:t xml:space="preserve">[34] C. Hachem-Vermette, Designing energy-positive neighborhoods: a modular framework for integrated planning and policy guidance, Energy Rep. 14 (2025) 4492–4507. https://doi.org/10.1016/j.egyr.2025.11.021.</w:t>
      </w:r>
    </w:p>
    <w:p>
      <w:pPr>
        <w:pStyle w:val="BodyText"/>
      </w:pPr>
      <w:r>
        <w:t xml:space="preserve">[35] C. Hachem-Vermette, K. Singh, Role of neighbourhood spatial and energy design in reducing energy vulnerability during power disruption, Renew. Sustain. Energy Rev. 183 (2023) 113519. https://doi.org/10.1016/j.rser.2023.113519.</w:t>
      </w:r>
    </w:p>
    <w:p>
      <w:pPr>
        <w:pStyle w:val="BodyText"/>
      </w:pPr>
      <w:r>
        <w:t xml:space="preserve">[36] U.S. Department of Energy, Prototype building models (commercial, ASHRAE Standard 90.1): Midrise Apartment, Pacific Northwest National Laboratory. https://www.energycodes.gov/prototype-building-models (accessed February 15, 2026).</w:t>
      </w:r>
    </w:p>
    <w:p>
      <w:pPr>
        <w:pStyle w:val="BodyText"/>
      </w:pPr>
      <w:r>
        <w:t xml:space="preserve">[37] National Renewable Energy Laboratory, OpenStudio Standards Gem, 2025. https://github.com/NREL/openstudio-standards (accessed February 15, 2026).</w:t>
      </w:r>
    </w:p>
    <w:bookmarkEnd w:id="108"/>
    <w:bookmarkStart w:id="118" w:name="appendices"/>
    <w:p>
      <w:pPr>
        <w:pStyle w:val="Heading1"/>
      </w:pPr>
      <w:r>
        <w:t xml:space="preserve">Appendices</w:t>
      </w:r>
    </w:p>
    <w:bookmarkStart w:id="115" w:name="appendix-a.-projection"/>
    <w:p>
      <w:pPr>
        <w:pStyle w:val="Heading2"/>
      </w:pPr>
      <w:r>
        <w:t xml:space="preserve">Appendix A. Projection</w:t>
      </w:r>
    </w:p>
    <w:p>
      <w:pPr>
        <w:pStyle w:val="FirstParagraph"/>
      </w:pPr>
      <w:r>
        <w:t xml:space="preserve">Figure A1 shows the hindcast distances of Table 9 per variable and method; Table A1 gives the hindcast for each setting of K, decay and latent size, and Table A2 the change of the 2025 cohort when K, the decay or the seed is changed.</w:t>
      </w:r>
    </w:p>
    <w:p>
      <w:pPr>
        <w:pStyle w:val="BodyText"/>
        <w:keepNext/>
        <w:jc w:val="center"/>
      </w:pPr>
      <w:r>
        <w:drawing>
          <wp:inline>
            <wp:extent cx="5334000" cy="6045199"/>
            <wp:effectExtent b="0" l="0" r="0" t="0"/>
            <wp:docPr descr="" title="" id="110" name="Picture"/>
            <a:graphic>
              <a:graphicData uri="http://schemas.openxmlformats.org/drawingml/2006/picture">
                <pic:pic>
                  <pic:nvPicPr>
                    <pic:cNvPr descr="../figures/FigA1_hindcast_R1.png" id="111" name="Picture"/>
                    <pic:cNvPicPr>
                      <a:picLocks noChangeArrowheads="1" noChangeAspect="1"/>
                    </pic:cNvPicPr>
                  </pic:nvPicPr>
                  <pic:blipFill>
                    <a:blip r:embed="rId109"/>
                    <a:stretch>
                      <a:fillRect/>
                    </a:stretch>
                  </pic:blipFill>
                  <pic:spPr bwMode="auto">
                    <a:xfrm>
                      <a:off x="0" y="0"/>
                      <a:ext cx="5334000" cy="6045199"/>
                    </a:xfrm>
                    <a:prstGeom prst="rect">
                      <a:avLst/>
                    </a:prstGeom>
                    <a:noFill/>
                    <a:ln w="9525">
                      <a:noFill/>
                      <a:headEnd/>
                      <a:tailEnd/>
                    </a:ln>
                  </pic:spPr>
                </pic:pic>
              </a:graphicData>
            </a:graphic>
          </wp:inline>
        </w:drawing>
      </w:r>
    </w:p>
    <w:p>
      <w:pPr>
        <w:pStyle w:val="BodyText"/>
      </w:pPr>
      <w:r>
        <w:t xml:space="preserve">Figure A1. Distance of each projection method to the held-out 2021 Census, per variable (log scale). CBVM: mean over five seeds with the minimum–maximum range; B2: mean over five seeds.</w:t>
      </w:r>
    </w:p>
    <w:p>
      <w:pPr>
        <w:pStyle w:val="BodyText"/>
      </w:pPr>
      <w:r>
        <w:t xml:space="preserve">Table A1. Hindcast sensitivity: mean distance to the 2021 Census over the 24 variables, and number of variables on which CBVM is closer than carry-forward (B0), per setting.</w:t>
      </w:r>
    </w:p>
    <w:tbl>
      <w:tblPr>
        <w:tblStyle w:val="Table"/>
        <w:tblW w:type="pct" w:w="5000"/>
        <w:tblLayout w:type="fixed"/>
        <w:tblCellMar>
          <w:left w:w="72" w:type="dxa"/>
          <w:right w:w="72" w:type="dxa"/>
        </w:tblCellMar>
        <w:tblLook w:firstRow="1" w:lastRow="0" w:firstColumn="0" w:lastColumn="0" w:noHBand="0" w:noVBand="0" w:val="0020"/>
      </w:tblPr>
      <w:tblGrid>
        <w:gridCol w:w="6399"/>
        <w:gridCol w:w="1480"/>
        <w:gridCol w:w="1481"/>
      </w:tblGrid>
      <w:tr>
        <w:trPr>
          <w:tblHeader w:val="on"/>
        </w:trPr>
        <w:tc>
          <w:tcPr>
            <w:tcW w:w="6399" w:type="dxa"/>
          </w:tcPr>
          <w:tcPr/>
          <w:p>
            <w:pPr>
              <w:spacing w:after="0" w:line="240" w:lineRule="auto"/>
              <w:pStyle w:val="Compact"/>
              <w:jc w:val="left"/>
            </w:pPr>
            <w:r>
              <w:rPr>
                <w:sz w:val="20"/>
                <w:szCs w:val="20"/>
              </w:rPr>
              <w:t xml:space="preserve">Setting</w:t>
            </w:r>
          </w:p>
        </w:tc>
        <w:tc>
          <w:tcPr>
            <w:tcW w:w="1480" w:type="dxa"/>
          </w:tcPr>
          <w:tcPr/>
          <w:p>
            <w:pPr>
              <w:spacing w:after="0" w:line="240" w:lineRule="auto"/>
              <w:pStyle w:val="Compact"/>
              <w:jc w:val="right"/>
            </w:pPr>
            <w:r>
              <w:rPr>
                <w:sz w:val="20"/>
                <w:szCs w:val="20"/>
              </w:rPr>
              <w:t xml:space="preserve">Mean distance over the 24 variables</w:t>
            </w:r>
          </w:p>
        </w:tc>
        <w:tc>
          <w:tcPr>
            <w:tcW w:w="1481" w:type="dxa"/>
          </w:tcPr>
          <w:tcPr/>
          <w:p>
            <w:pPr>
              <w:spacing w:after="0" w:line="240" w:lineRule="auto"/>
              <w:pStyle w:val="Compact"/>
              <w:jc w:val="right"/>
            </w:pPr>
            <w:r>
              <w:rPr>
                <w:sz w:val="20"/>
                <w:szCs w:val="20"/>
              </w:rPr>
              <w:t xml:space="preserve">Variables closer than B0 (of 24)</w:t>
            </w:r>
          </w:p>
        </w:tc>
      </w:tr>
      <w:tr>
        <w:tc>
          <w:tcPr>
            <w:tcW w:w="6399" w:type="dxa"/>
          </w:tcPr>
          <w:tcPr/>
          <w:p>
            <w:pPr>
              <w:spacing w:after="0" w:line="240" w:lineRule="auto"/>
              <w:pStyle w:val="Compact"/>
              <w:jc w:val="left"/>
            </w:pPr>
            <w:r>
              <w:rPr>
                <w:sz w:val="20"/>
                <w:szCs w:val="20"/>
              </w:rPr>
              <w:t xml:space="preserve">K = 4, decay 0.90,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4, decay 0.95,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4, decay 1.00,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0.90,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0.95,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1.00,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12, decay 0.90,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12, decay 0.95,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12, decay 1.00, latent 128 (5 seeds)</w:t>
            </w:r>
          </w:p>
        </w:tc>
        <w:tc>
          <w:tcPr>
            <w:tcW w:w="1480" w:type="dxa"/>
          </w:tcPr>
          <w:tcPr/>
          <w:p>
            <w:pPr>
              <w:spacing w:after="0" w:line="240" w:lineRule="auto"/>
              <w:pStyle w:val="Compact"/>
              <w:jc w:val="right"/>
            </w:pPr>
            <w:r>
              <w:rPr>
                <w:sz w:val="20"/>
                <w:szCs w:val="20"/>
              </w:rPr>
              <w:t xml:space="preserve">0.0400</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0.95, latent 64 (seed 1)</w:t>
            </w:r>
          </w:p>
        </w:tc>
        <w:tc>
          <w:tcPr>
            <w:tcW w:w="1480" w:type="dxa"/>
          </w:tcPr>
          <w:tcPr/>
          <w:p>
            <w:pPr>
              <w:spacing w:after="0" w:line="240" w:lineRule="auto"/>
              <w:pStyle w:val="Compact"/>
              <w:jc w:val="right"/>
            </w:pPr>
            <w:r>
              <w:rPr>
                <w:sz w:val="20"/>
                <w:szCs w:val="20"/>
              </w:rPr>
              <w:t xml:space="preserve">0.0437</w:t>
            </w:r>
          </w:p>
        </w:tc>
        <w:tc>
          <w:tcPr>
            <w:tcW w:w="1481" w:type="dxa"/>
          </w:tcPr>
          <w:tcPr/>
          <w:p>
            <w:pPr>
              <w:spacing w:after="0" w:line="240" w:lineRule="auto"/>
              <w:pStyle w:val="Compact"/>
              <w:jc w:val="right"/>
            </w:pPr>
            <w:r>
              <w:rPr>
                <w:sz w:val="20"/>
                <w:szCs w:val="20"/>
              </w:rPr>
              <w:t xml:space="preserve">5</w:t>
            </w:r>
          </w:p>
        </w:tc>
      </w:tr>
      <w:tr>
        <w:tc>
          <w:tcPr>
            <w:tcW w:w="6399" w:type="dxa"/>
          </w:tcPr>
          <w:tcPr/>
          <w:p>
            <w:pPr>
              <w:spacing w:after="0" w:line="240" w:lineRule="auto"/>
              <w:pStyle w:val="Compact"/>
              <w:jc w:val="left"/>
            </w:pPr>
            <w:r>
              <w:rPr>
                <w:sz w:val="20"/>
                <w:szCs w:val="20"/>
              </w:rPr>
              <w:t xml:space="preserve">K = 8, decay 0.95, latent 128 (seed 1)</w:t>
            </w:r>
          </w:p>
        </w:tc>
        <w:tc>
          <w:tcPr>
            <w:tcW w:w="1480" w:type="dxa"/>
          </w:tcPr>
          <w:tcPr/>
          <w:p>
            <w:pPr>
              <w:spacing w:after="0" w:line="240" w:lineRule="auto"/>
              <w:pStyle w:val="Compact"/>
              <w:jc w:val="right"/>
            </w:pPr>
            <w:r>
              <w:rPr>
                <w:sz w:val="20"/>
                <w:szCs w:val="20"/>
              </w:rPr>
              <w:t xml:space="preserve">0.0406</w:t>
            </w:r>
          </w:p>
        </w:tc>
        <w:tc>
          <w:tcPr>
            <w:tcW w:w="1481" w:type="dxa"/>
          </w:tcPr>
          <w:tcPr/>
          <w:p>
            <w:pPr>
              <w:spacing w:after="0" w:line="240" w:lineRule="auto"/>
              <w:pStyle w:val="Compact"/>
              <w:jc w:val="right"/>
            </w:pPr>
            <w:r>
              <w:rPr>
                <w:sz w:val="20"/>
                <w:szCs w:val="20"/>
              </w:rPr>
              <w:t xml:space="preserve">6</w:t>
            </w:r>
          </w:p>
        </w:tc>
      </w:tr>
      <w:tr>
        <w:tc>
          <w:tcPr>
            <w:tcW w:w="6399" w:type="dxa"/>
          </w:tcPr>
          <w:tcPr/>
          <w:p>
            <w:pPr>
              <w:spacing w:after="0" w:line="240" w:lineRule="auto"/>
              <w:pStyle w:val="Compact"/>
              <w:jc w:val="left"/>
            </w:pPr>
            <w:r>
              <w:rPr>
                <w:sz w:val="20"/>
                <w:szCs w:val="20"/>
              </w:rPr>
              <w:t xml:space="preserve">K = 8, decay 0.95, latent 256 (seed 1)</w:t>
            </w:r>
          </w:p>
        </w:tc>
        <w:tc>
          <w:tcPr>
            <w:tcW w:w="1480" w:type="dxa"/>
          </w:tcPr>
          <w:tcPr/>
          <w:p>
            <w:pPr>
              <w:spacing w:after="0" w:line="240" w:lineRule="auto"/>
              <w:pStyle w:val="Compact"/>
              <w:jc w:val="right"/>
            </w:pPr>
            <w:r>
              <w:rPr>
                <w:sz w:val="20"/>
                <w:szCs w:val="20"/>
              </w:rPr>
              <w:t xml:space="preserve">0.0394</w:t>
            </w:r>
          </w:p>
        </w:tc>
        <w:tc>
          <w:tcPr>
            <w:tcW w:w="1481" w:type="dxa"/>
          </w:tcPr>
          <w:tcPr/>
          <w:p>
            <w:pPr>
              <w:spacing w:after="0" w:line="240" w:lineRule="auto"/>
              <w:pStyle w:val="Compact"/>
              <w:jc w:val="right"/>
            </w:pPr>
            <w:r>
              <w:rPr>
                <w:sz w:val="20"/>
                <w:szCs w:val="20"/>
              </w:rPr>
              <w:t xml:space="preserve">7</w:t>
            </w:r>
          </w:p>
        </w:tc>
      </w:tr>
    </w:tbl>
    <w:p>
      <w:pPr>
        <w:pStyle w:val="BodyText"/>
      </w:pPr>
      <w:r>
        <w:t xml:space="preserve">Table A2. Sensitivity of the 2025 cohort: distance of each variant from the reference cohort (K = 8, decay 0.95, latent 128, seed 1), mean over the 24 variables and largest single variable. A repeat of the reference gave a distance of zero.</w:t>
      </w:r>
    </w:p>
    <w:tbl>
      <w:tblPr>
        <w:tblStyle w:val="Table"/>
        <w:tblW w:type="pct" w:w="5000"/>
        <w:tblLayout w:type="fixed"/>
        <w:tblCellMar>
          <w:left w:w="72" w:type="dxa"/>
          <w:right w:w="72" w:type="dxa"/>
        </w:tblCellMar>
        <w:tblLook w:firstRow="1" w:lastRow="0" w:firstColumn="0" w:lastColumn="0" w:noHBand="0" w:noVBand="0" w:val="0020"/>
      </w:tblPr>
      <w:tblGrid>
        <w:gridCol w:w="3598"/>
        <w:gridCol w:w="1599"/>
        <w:gridCol w:w="4163"/>
      </w:tblGrid>
      <w:tr>
        <w:trPr>
          <w:tblHeader w:val="on"/>
        </w:trPr>
        <w:tc>
          <w:tcPr>
            <w:tcW w:w="3598" w:type="dxa"/>
          </w:tcPr>
          <w:tcPr/>
          <w:p>
            <w:pPr>
              <w:spacing w:after="0" w:line="240" w:lineRule="auto"/>
              <w:pStyle w:val="Compact"/>
              <w:jc w:val="left"/>
            </w:pPr>
            <w:r>
              <w:rPr>
                <w:sz w:val="20"/>
                <w:szCs w:val="20"/>
              </w:rPr>
              <w:t xml:space="preserve">2025 cohort variant</w:t>
            </w:r>
          </w:p>
        </w:tc>
        <w:tc>
          <w:tcPr>
            <w:tcW w:w="1599" w:type="dxa"/>
          </w:tcPr>
          <w:tcPr/>
          <w:p>
            <w:pPr>
              <w:spacing w:after="0" w:line="240" w:lineRule="auto"/>
              <w:pStyle w:val="Compact"/>
              <w:jc w:val="right"/>
            </w:pPr>
            <w:r>
              <w:rPr>
                <w:sz w:val="20"/>
                <w:szCs w:val="20"/>
              </w:rPr>
              <w:t xml:space="preserve">Mean distance from the reference cohort</w:t>
            </w:r>
          </w:p>
        </w:tc>
        <w:tc>
          <w:tcPr>
            <w:tcW w:w="4163" w:type="dxa"/>
          </w:tcPr>
          <w:tcPr/>
          <w:p>
            <w:pPr>
              <w:spacing w:after="0" w:line="240" w:lineRule="auto"/>
              <w:pStyle w:val="Compact"/>
              <w:jc w:val="left"/>
            </w:pPr>
            <w:r>
              <w:rPr>
                <w:sz w:val="20"/>
                <w:szCs w:val="20"/>
              </w:rPr>
              <w:t xml:space="preserve">Largest single variable</w:t>
            </w:r>
          </w:p>
        </w:tc>
      </w:tr>
      <w:tr>
        <w:tc>
          <w:tcPr>
            <w:tcW w:w="3598" w:type="dxa"/>
          </w:tcPr>
          <w:tcPr/>
          <w:p>
            <w:pPr>
              <w:spacing w:after="0" w:line="240" w:lineRule="auto"/>
              <w:pStyle w:val="Compact"/>
              <w:jc w:val="left"/>
            </w:pPr>
            <w:r>
              <w:rPr>
                <w:sz w:val="20"/>
                <w:szCs w:val="20"/>
              </w:rPr>
              <w:t xml:space="preserve">K = 4, decay 0.90</w:t>
            </w:r>
          </w:p>
        </w:tc>
        <w:tc>
          <w:tcPr>
            <w:tcW w:w="1599" w:type="dxa"/>
          </w:tcPr>
          <w:tcPr/>
          <w:p>
            <w:pPr>
              <w:spacing w:after="0" w:line="240" w:lineRule="auto"/>
              <w:pStyle w:val="Compact"/>
              <w:jc w:val="right"/>
            </w:pPr>
            <w:r>
              <w:rPr>
                <w:sz w:val="20"/>
                <w:szCs w:val="20"/>
              </w:rPr>
              <w:t xml:space="preserve">0.0008</w:t>
            </w:r>
          </w:p>
        </w:tc>
        <w:tc>
          <w:tcPr>
            <w:tcW w:w="4163" w:type="dxa"/>
          </w:tcPr>
          <w:tcPr/>
          <w:p>
            <w:pPr>
              <w:spacing w:after="0" w:line="240" w:lineRule="auto"/>
              <w:pStyle w:val="Compact"/>
              <w:jc w:val="left"/>
            </w:pPr>
            <w:r>
              <w:rPr>
                <w:sz w:val="20"/>
                <w:szCs w:val="20"/>
              </w:rPr>
              <w:t xml:space="preserve">0.0016 (Citizenship)</w:t>
            </w:r>
          </w:p>
        </w:tc>
      </w:tr>
      <w:tr>
        <w:tc>
          <w:tcPr>
            <w:tcW w:w="3598" w:type="dxa"/>
          </w:tcPr>
          <w:tcPr/>
          <w:p>
            <w:pPr>
              <w:spacing w:after="0" w:line="240" w:lineRule="auto"/>
              <w:pStyle w:val="Compact"/>
              <w:jc w:val="left"/>
            </w:pPr>
            <w:r>
              <w:rPr>
                <w:sz w:val="20"/>
                <w:szCs w:val="20"/>
              </w:rPr>
              <w:t xml:space="preserve">K = 4, decay 0.95</w:t>
            </w:r>
          </w:p>
        </w:tc>
        <w:tc>
          <w:tcPr>
            <w:tcW w:w="1599" w:type="dxa"/>
          </w:tcPr>
          <w:tcPr/>
          <w:p>
            <w:pPr>
              <w:spacing w:after="0" w:line="240" w:lineRule="auto"/>
              <w:pStyle w:val="Compact"/>
              <w:jc w:val="right"/>
            </w:pPr>
            <w:r>
              <w:rPr>
                <w:sz w:val="20"/>
                <w:szCs w:val="20"/>
              </w:rPr>
              <w:t xml:space="preserve">0.0008</w:t>
            </w:r>
          </w:p>
        </w:tc>
        <w:tc>
          <w:tcPr>
            <w:tcW w:w="4163" w:type="dxa"/>
          </w:tcPr>
          <w:tcPr/>
          <w:p>
            <w:pPr>
              <w:spacing w:after="0" w:line="240" w:lineRule="auto"/>
              <w:pStyle w:val="Compact"/>
              <w:jc w:val="left"/>
            </w:pPr>
            <w:r>
              <w:rPr>
                <w:sz w:val="20"/>
                <w:szCs w:val="20"/>
              </w:rPr>
              <w:t xml:space="preserve">0.0015 (Citizenship)</w:t>
            </w:r>
          </w:p>
        </w:tc>
      </w:tr>
      <w:tr>
        <w:tc>
          <w:tcPr>
            <w:tcW w:w="3598" w:type="dxa"/>
          </w:tcPr>
          <w:tcPr/>
          <w:p>
            <w:pPr>
              <w:spacing w:after="0" w:line="240" w:lineRule="auto"/>
              <w:pStyle w:val="Compact"/>
              <w:jc w:val="left"/>
            </w:pPr>
            <w:r>
              <w:rPr>
                <w:sz w:val="20"/>
                <w:szCs w:val="20"/>
              </w:rPr>
              <w:t xml:space="preserve">K = 4, decay 1.00</w:t>
            </w:r>
          </w:p>
        </w:tc>
        <w:tc>
          <w:tcPr>
            <w:tcW w:w="1599" w:type="dxa"/>
          </w:tcPr>
          <w:tcPr/>
          <w:p>
            <w:pPr>
              <w:spacing w:after="0" w:line="240" w:lineRule="auto"/>
              <w:pStyle w:val="Compact"/>
              <w:jc w:val="right"/>
            </w:pPr>
            <w:r>
              <w:rPr>
                <w:sz w:val="20"/>
                <w:szCs w:val="20"/>
              </w:rPr>
              <w:t xml:space="preserve">0.0008</w:t>
            </w:r>
          </w:p>
        </w:tc>
        <w:tc>
          <w:tcPr>
            <w:tcW w:w="4163" w:type="dxa"/>
          </w:tcPr>
          <w:tcPr/>
          <w:p>
            <w:pPr>
              <w:spacing w:after="0" w:line="240" w:lineRule="auto"/>
              <w:pStyle w:val="Compact"/>
              <w:jc w:val="left"/>
            </w:pPr>
            <w:r>
              <w:rPr>
                <w:sz w:val="20"/>
                <w:szCs w:val="20"/>
              </w:rPr>
              <w:t xml:space="preserve">0.0017 (Commuting mode)</w:t>
            </w:r>
          </w:p>
        </w:tc>
      </w:tr>
      <w:tr>
        <w:tc>
          <w:tcPr>
            <w:tcW w:w="3598" w:type="dxa"/>
          </w:tcPr>
          <w:tcPr/>
          <w:p>
            <w:pPr>
              <w:spacing w:after="0" w:line="240" w:lineRule="auto"/>
              <w:pStyle w:val="Compact"/>
              <w:jc w:val="left"/>
            </w:pPr>
            <w:r>
              <w:rPr>
                <w:sz w:val="20"/>
                <w:szCs w:val="20"/>
              </w:rPr>
              <w:t xml:space="preserve">K = 8, decay 0.90</w:t>
            </w:r>
          </w:p>
        </w:tc>
        <w:tc>
          <w:tcPr>
            <w:tcW w:w="1599" w:type="dxa"/>
          </w:tcPr>
          <w:tcPr/>
          <w:p>
            <w:pPr>
              <w:spacing w:after="0" w:line="240" w:lineRule="auto"/>
              <w:pStyle w:val="Compact"/>
              <w:jc w:val="right"/>
            </w:pPr>
            <w:r>
              <w:rPr>
                <w:sz w:val="20"/>
                <w:szCs w:val="20"/>
              </w:rPr>
              <w:t xml:space="preserve">0.0002</w:t>
            </w:r>
          </w:p>
        </w:tc>
        <w:tc>
          <w:tcPr>
            <w:tcW w:w="4163" w:type="dxa"/>
          </w:tcPr>
          <w:tcPr/>
          <w:p>
            <w:pPr>
              <w:spacing w:after="0" w:line="240" w:lineRule="auto"/>
              <w:pStyle w:val="Compact"/>
              <w:jc w:val="left"/>
            </w:pPr>
            <w:r>
              <w:rPr>
                <w:sz w:val="20"/>
                <w:szCs w:val="20"/>
              </w:rPr>
              <w:t xml:space="preserve">0.0005 (Census family status)</w:t>
            </w:r>
          </w:p>
        </w:tc>
      </w:tr>
      <w:tr>
        <w:tc>
          <w:tcPr>
            <w:tcW w:w="3598" w:type="dxa"/>
          </w:tcPr>
          <w:tcPr/>
          <w:p>
            <w:pPr>
              <w:spacing w:after="0" w:line="240" w:lineRule="auto"/>
              <w:pStyle w:val="Compact"/>
              <w:jc w:val="left"/>
            </w:pPr>
            <w:r>
              <w:rPr>
                <w:sz w:val="20"/>
                <w:szCs w:val="20"/>
              </w:rPr>
              <w:t xml:space="preserve">K = 8, decay 1.00</w:t>
            </w:r>
          </w:p>
        </w:tc>
        <w:tc>
          <w:tcPr>
            <w:tcW w:w="1599" w:type="dxa"/>
          </w:tcPr>
          <w:tcPr/>
          <w:p>
            <w:pPr>
              <w:spacing w:after="0" w:line="240" w:lineRule="auto"/>
              <w:pStyle w:val="Compact"/>
              <w:jc w:val="right"/>
            </w:pPr>
            <w:r>
              <w:rPr>
                <w:sz w:val="20"/>
                <w:szCs w:val="20"/>
              </w:rPr>
              <w:t xml:space="preserve">0.0002</w:t>
            </w:r>
          </w:p>
        </w:tc>
        <w:tc>
          <w:tcPr>
            <w:tcW w:w="4163" w:type="dxa"/>
          </w:tcPr>
          <w:tcPr/>
          <w:p>
            <w:pPr>
              <w:spacing w:after="0" w:line="240" w:lineRule="auto"/>
              <w:pStyle w:val="Compact"/>
              <w:jc w:val="left"/>
            </w:pPr>
            <w:r>
              <w:rPr>
                <w:sz w:val="20"/>
                <w:szCs w:val="20"/>
              </w:rPr>
              <w:t xml:space="preserve">0.0004 (Census family status)</w:t>
            </w:r>
          </w:p>
        </w:tc>
      </w:tr>
      <w:tr>
        <w:tc>
          <w:tcPr>
            <w:tcW w:w="3598" w:type="dxa"/>
          </w:tcPr>
          <w:tcPr/>
          <w:p>
            <w:pPr>
              <w:spacing w:after="0" w:line="240" w:lineRule="auto"/>
              <w:pStyle w:val="Compact"/>
              <w:jc w:val="left"/>
            </w:pPr>
            <w:r>
              <w:rPr>
                <w:sz w:val="20"/>
                <w:szCs w:val="20"/>
              </w:rPr>
              <w:t xml:space="preserve">K = 12, decay 0.90</w:t>
            </w:r>
          </w:p>
        </w:tc>
        <w:tc>
          <w:tcPr>
            <w:tcW w:w="1599" w:type="dxa"/>
          </w:tcPr>
          <w:tcPr/>
          <w:p>
            <w:pPr>
              <w:spacing w:after="0" w:line="240" w:lineRule="auto"/>
              <w:pStyle w:val="Compact"/>
              <w:jc w:val="right"/>
            </w:pPr>
            <w:r>
              <w:rPr>
                <w:sz w:val="20"/>
                <w:szCs w:val="20"/>
              </w:rPr>
              <w:t xml:space="preserve">0.0005</w:t>
            </w:r>
          </w:p>
        </w:tc>
        <w:tc>
          <w:tcPr>
            <w:tcW w:w="4163" w:type="dxa"/>
          </w:tcPr>
          <w:tcPr/>
          <w:p>
            <w:pPr>
              <w:spacing w:after="0" w:line="240" w:lineRule="auto"/>
              <w:pStyle w:val="Compact"/>
              <w:jc w:val="left"/>
            </w:pPr>
            <w:r>
              <w:rPr>
                <w:sz w:val="20"/>
                <w:szCs w:val="20"/>
              </w:rPr>
              <w:t xml:space="preserve">0.0012 (Metropolitan area)</w:t>
            </w:r>
          </w:p>
        </w:tc>
      </w:tr>
      <w:tr>
        <w:tc>
          <w:tcPr>
            <w:tcW w:w="3598" w:type="dxa"/>
          </w:tcPr>
          <w:tcPr/>
          <w:p>
            <w:pPr>
              <w:spacing w:after="0" w:line="240" w:lineRule="auto"/>
              <w:pStyle w:val="Compact"/>
              <w:jc w:val="left"/>
            </w:pPr>
            <w:r>
              <w:rPr>
                <w:sz w:val="20"/>
                <w:szCs w:val="20"/>
              </w:rPr>
              <w:t xml:space="preserve">K = 12, decay 0.95</w:t>
            </w:r>
          </w:p>
        </w:tc>
        <w:tc>
          <w:tcPr>
            <w:tcW w:w="1599" w:type="dxa"/>
          </w:tcPr>
          <w:tcPr/>
          <w:p>
            <w:pPr>
              <w:spacing w:after="0" w:line="240" w:lineRule="auto"/>
              <w:pStyle w:val="Compact"/>
              <w:jc w:val="right"/>
            </w:pPr>
            <w:r>
              <w:rPr>
                <w:sz w:val="20"/>
                <w:szCs w:val="20"/>
              </w:rPr>
              <w:t xml:space="preserve">0.0006</w:t>
            </w:r>
          </w:p>
        </w:tc>
        <w:tc>
          <w:tcPr>
            <w:tcW w:w="4163" w:type="dxa"/>
          </w:tcPr>
          <w:tcPr/>
          <w:p>
            <w:pPr>
              <w:spacing w:after="0" w:line="240" w:lineRule="auto"/>
              <w:pStyle w:val="Compact"/>
              <w:jc w:val="left"/>
            </w:pPr>
            <w:r>
              <w:rPr>
                <w:sz w:val="20"/>
                <w:szCs w:val="20"/>
              </w:rPr>
              <w:t xml:space="preserve">0.0016 (Metropolitan area)</w:t>
            </w:r>
          </w:p>
        </w:tc>
      </w:tr>
      <w:tr>
        <w:tc>
          <w:tcPr>
            <w:tcW w:w="3598" w:type="dxa"/>
          </w:tcPr>
          <w:tcPr/>
          <w:p>
            <w:pPr>
              <w:spacing w:after="0" w:line="240" w:lineRule="auto"/>
              <w:pStyle w:val="Compact"/>
              <w:jc w:val="left"/>
            </w:pPr>
            <w:r>
              <w:rPr>
                <w:sz w:val="20"/>
                <w:szCs w:val="20"/>
              </w:rPr>
              <w:t xml:space="preserve">K = 12, decay 1.00</w:t>
            </w:r>
          </w:p>
        </w:tc>
        <w:tc>
          <w:tcPr>
            <w:tcW w:w="1599" w:type="dxa"/>
          </w:tcPr>
          <w:tcPr/>
          <w:p>
            <w:pPr>
              <w:spacing w:after="0" w:line="240" w:lineRule="auto"/>
              <w:pStyle w:val="Compact"/>
              <w:jc w:val="right"/>
            </w:pPr>
            <w:r>
              <w:rPr>
                <w:sz w:val="20"/>
                <w:szCs w:val="20"/>
              </w:rPr>
              <w:t xml:space="preserve">0.0007</w:t>
            </w:r>
          </w:p>
        </w:tc>
        <w:tc>
          <w:tcPr>
            <w:tcW w:w="4163" w:type="dxa"/>
          </w:tcPr>
          <w:tcPr/>
          <w:p>
            <w:pPr>
              <w:spacing w:after="0" w:line="240" w:lineRule="auto"/>
              <w:pStyle w:val="Compact"/>
              <w:jc w:val="left"/>
            </w:pPr>
            <w:r>
              <w:rPr>
                <w:sz w:val="20"/>
                <w:szCs w:val="20"/>
              </w:rPr>
              <w:t xml:space="preserve">0.0018 (Metropolitan area)</w:t>
            </w:r>
          </w:p>
        </w:tc>
      </w:tr>
      <w:tr>
        <w:tc>
          <w:tcPr>
            <w:tcW w:w="3598" w:type="dxa"/>
          </w:tcPr>
          <w:tcPr/>
          <w:p>
            <w:pPr>
              <w:spacing w:after="0" w:line="240" w:lineRule="auto"/>
              <w:pStyle w:val="Compact"/>
              <w:jc w:val="left"/>
            </w:pPr>
            <w:r>
              <w:rPr>
                <w:sz w:val="20"/>
                <w:szCs w:val="20"/>
              </w:rPr>
              <w:t xml:space="preserve">seed 2 (K = 8, decay 0.95)</w:t>
            </w:r>
          </w:p>
        </w:tc>
        <w:tc>
          <w:tcPr>
            <w:tcW w:w="1599" w:type="dxa"/>
          </w:tcPr>
          <w:tcPr/>
          <w:p>
            <w:pPr>
              <w:spacing w:after="0" w:line="240" w:lineRule="auto"/>
              <w:pStyle w:val="Compact"/>
              <w:jc w:val="right"/>
            </w:pPr>
            <w:r>
              <w:rPr>
                <w:sz w:val="20"/>
                <w:szCs w:val="20"/>
              </w:rPr>
              <w:t xml:space="preserve">0.0017</w:t>
            </w:r>
          </w:p>
        </w:tc>
        <w:tc>
          <w:tcPr>
            <w:tcW w:w="4163" w:type="dxa"/>
          </w:tcPr>
          <w:tcPr/>
          <w:p>
            <w:pPr>
              <w:spacing w:after="0" w:line="240" w:lineRule="auto"/>
              <w:pStyle w:val="Compact"/>
              <w:jc w:val="left"/>
            </w:pPr>
            <w:r>
              <w:rPr>
                <w:sz w:val="20"/>
                <w:szCs w:val="20"/>
              </w:rPr>
              <w:t xml:space="preserve">0.0044 (Province)</w:t>
            </w:r>
          </w:p>
        </w:tc>
      </w:tr>
      <w:tr>
        <w:tc>
          <w:tcPr>
            <w:tcW w:w="3598" w:type="dxa"/>
          </w:tcPr>
          <w:tcPr/>
          <w:p>
            <w:pPr>
              <w:spacing w:after="0" w:line="240" w:lineRule="auto"/>
              <w:pStyle w:val="Compact"/>
              <w:jc w:val="left"/>
            </w:pPr>
            <w:r>
              <w:rPr>
                <w:sz w:val="20"/>
                <w:szCs w:val="20"/>
              </w:rPr>
              <w:t xml:space="preserve">seed 3 (K = 8, decay 0.95)</w:t>
            </w:r>
          </w:p>
        </w:tc>
        <w:tc>
          <w:tcPr>
            <w:tcW w:w="1599" w:type="dxa"/>
          </w:tcPr>
          <w:tcPr/>
          <w:p>
            <w:pPr>
              <w:spacing w:after="0" w:line="240" w:lineRule="auto"/>
              <w:pStyle w:val="Compact"/>
              <w:jc w:val="right"/>
            </w:pPr>
            <w:r>
              <w:rPr>
                <w:sz w:val="20"/>
                <w:szCs w:val="20"/>
              </w:rPr>
              <w:t xml:space="preserve">0.0019</w:t>
            </w:r>
          </w:p>
        </w:tc>
        <w:tc>
          <w:tcPr>
            <w:tcW w:w="4163" w:type="dxa"/>
          </w:tcPr>
          <w:tcPr/>
          <w:p>
            <w:pPr>
              <w:spacing w:after="0" w:line="240" w:lineRule="auto"/>
              <w:pStyle w:val="Compact"/>
              <w:jc w:val="left"/>
            </w:pPr>
            <w:r>
              <w:rPr>
                <w:sz w:val="20"/>
                <w:szCs w:val="20"/>
              </w:rPr>
              <w:t xml:space="preserve">0.0038 (Age group)</w:t>
            </w:r>
          </w:p>
        </w:tc>
      </w:tr>
      <w:tr>
        <w:tc>
          <w:tcPr>
            <w:tcW w:w="3598" w:type="dxa"/>
          </w:tcPr>
          <w:tcPr/>
          <w:p>
            <w:pPr>
              <w:spacing w:after="0" w:line="240" w:lineRule="auto"/>
              <w:pStyle w:val="Compact"/>
              <w:jc w:val="left"/>
            </w:pPr>
            <w:r>
              <w:rPr>
                <w:sz w:val="20"/>
                <w:szCs w:val="20"/>
              </w:rPr>
              <w:t xml:space="preserve">seed 4 (K = 8, decay 0.95)</w:t>
            </w:r>
          </w:p>
        </w:tc>
        <w:tc>
          <w:tcPr>
            <w:tcW w:w="1599" w:type="dxa"/>
          </w:tcPr>
          <w:tcPr/>
          <w:p>
            <w:pPr>
              <w:spacing w:after="0" w:line="240" w:lineRule="auto"/>
              <w:pStyle w:val="Compact"/>
              <w:jc w:val="right"/>
            </w:pPr>
            <w:r>
              <w:rPr>
                <w:sz w:val="20"/>
                <w:szCs w:val="20"/>
              </w:rPr>
              <w:t xml:space="preserve">0.0014</w:t>
            </w:r>
          </w:p>
        </w:tc>
        <w:tc>
          <w:tcPr>
            <w:tcW w:w="4163" w:type="dxa"/>
          </w:tcPr>
          <w:tcPr/>
          <w:p>
            <w:pPr>
              <w:spacing w:after="0" w:line="240" w:lineRule="auto"/>
              <w:pStyle w:val="Compact"/>
              <w:jc w:val="left"/>
            </w:pPr>
            <w:r>
              <w:rPr>
                <w:sz w:val="20"/>
                <w:szCs w:val="20"/>
              </w:rPr>
              <w:t xml:space="preserve">0.0036 (Age group)</w:t>
            </w:r>
          </w:p>
        </w:tc>
      </w:tr>
      <w:tr>
        <w:tc>
          <w:tcPr>
            <w:tcW w:w="3598" w:type="dxa"/>
          </w:tcPr>
          <w:tcPr/>
          <w:p>
            <w:pPr>
              <w:spacing w:after="0" w:line="240" w:lineRule="auto"/>
              <w:pStyle w:val="Compact"/>
              <w:jc w:val="left"/>
            </w:pPr>
            <w:r>
              <w:rPr>
                <w:sz w:val="20"/>
                <w:szCs w:val="20"/>
              </w:rPr>
              <w:t xml:space="preserve">seed 5 (K = 8, decay 0.95)</w:t>
            </w:r>
          </w:p>
        </w:tc>
        <w:tc>
          <w:tcPr>
            <w:tcW w:w="1599" w:type="dxa"/>
          </w:tcPr>
          <w:tcPr/>
          <w:p>
            <w:pPr>
              <w:spacing w:after="0" w:line="240" w:lineRule="auto"/>
              <w:pStyle w:val="Compact"/>
              <w:jc w:val="right"/>
            </w:pPr>
            <w:r>
              <w:rPr>
                <w:sz w:val="20"/>
                <w:szCs w:val="20"/>
              </w:rPr>
              <w:t xml:space="preserve">0.0019</w:t>
            </w:r>
          </w:p>
        </w:tc>
        <w:tc>
          <w:tcPr>
            <w:tcW w:w="4163" w:type="dxa"/>
          </w:tcPr>
          <w:tcPr/>
          <w:p>
            <w:pPr>
              <w:spacing w:after="0" w:line="240" w:lineRule="auto"/>
              <w:pStyle w:val="Compact"/>
              <w:jc w:val="left"/>
            </w:pPr>
            <w:r>
              <w:rPr>
                <w:sz w:val="20"/>
                <w:szCs w:val="20"/>
              </w:rPr>
              <w:t xml:space="preserve">0.0036 (Census family status)</w:t>
            </w:r>
          </w:p>
        </w:tc>
      </w:tr>
    </w:tbl>
    <w:p>
      <w:pPr>
        <w:pStyle w:val="BodyText"/>
        <w:keepNext/>
        <w:jc w:val="center"/>
      </w:pPr>
      <w:r>
        <w:drawing>
          <wp:inline>
            <wp:extent cx="5334000" cy="2667000"/>
            <wp:effectExtent b="0" l="0" r="0" t="0"/>
            <wp:docPr descr="" title="" id="113" name="Picture"/>
            <a:graphic>
              <a:graphicData uri="http://schemas.openxmlformats.org/drawingml/2006/picture">
                <pic:pic>
                  <pic:nvPicPr>
                    <pic:cNvPr descr="../figures/docx_media/word/media/image23.png" id="114" name="Picture"/>
                    <pic:cNvPicPr>
                      <a:picLocks noChangeArrowheads="1" noChangeAspect="1"/>
                    </pic:cNvPicPr>
                  </pic:nvPicPr>
                  <pic:blipFill>
                    <a:blip r:embed="rId11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Figure A2. Dwelling type distribution: historical Census cycles and the refined 2025 cohort.</w:t>
      </w:r>
    </w:p>
    <w:bookmarkEnd w:id="115"/>
    <w:bookmarkStart w:id="116" w:name="appendix-b.-harmonisation-tables"/>
    <w:p>
      <w:pPr>
        <w:pStyle w:val="Heading2"/>
      </w:pPr>
      <w:r>
        <w:t xml:space="preserve">Appendix B. Harmonisation tables</w:t>
      </w:r>
    </w:p>
    <w:p>
      <w:pPr>
        <w:pStyle w:val="FirstParagraph"/>
      </w:pPr>
      <w:r>
        <w:t xml:space="preserve">Table B1. Standardised activity categories for the four GSS cycles.</w:t>
      </w:r>
    </w:p>
    <w:tbl>
      <w:tblPr>
        <w:tblStyle w:val="Table"/>
        <w:tblW w:type="pct" w:w="5000"/>
        <w:tblLayout w:type="fixed"/>
        <w:tblCellMar>
          <w:left w:w="72" w:type="dxa"/>
          <w:right w:w="72" w:type="dxa"/>
        </w:tblCellMar>
        <w:tblLook w:firstRow="1" w:lastRow="0" w:firstColumn="0" w:lastColumn="0" w:noHBand="0" w:noVBand="0" w:val="0020"/>
      </w:tblPr>
      <w:tblGrid>
        <w:gridCol w:w="334"/>
        <w:gridCol w:w="1789"/>
        <w:gridCol w:w="7237"/>
      </w:tblGrid>
      <w:tr>
        <w:trPr>
          <w:tblHeader w:val="on"/>
        </w:trPr>
        <w:tc>
          <w:tcPr>
            <w:tcW w:w="334" w:type="dxa"/>
          </w:tcPr>
          <w:tcPr/>
          <w:p>
            <w:pPr>
              <w:spacing w:after="0" w:line="240" w:lineRule="auto"/>
              <w:pStyle w:val="Compact"/>
              <w:jc w:val="center"/>
            </w:pPr>
            <w:r>
              <w:rPr>
                <w:sz w:val="20"/>
                <w:szCs w:val="20"/>
              </w:rPr>
              <w:t xml:space="preserve">#</w:t>
            </w:r>
          </w:p>
        </w:tc>
        <w:tc>
          <w:tcPr>
            <w:tcW w:w="1789" w:type="dxa"/>
          </w:tcPr>
          <w:tcPr/>
          <w:p>
            <w:pPr>
              <w:spacing w:after="0" w:line="240" w:lineRule="auto"/>
              <w:pStyle w:val="Compact"/>
              <w:jc w:val="left"/>
            </w:pPr>
            <w:r>
              <w:rPr>
                <w:sz w:val="20"/>
                <w:szCs w:val="20"/>
              </w:rPr>
              <w:t xml:space="preserve">Category</w:t>
            </w:r>
          </w:p>
        </w:tc>
        <w:tc>
          <w:tcPr>
            <w:tcW w:w="7237" w:type="dxa"/>
          </w:tcPr>
          <w:tcPr/>
          <w:p>
            <w:pPr>
              <w:spacing w:after="0" w:line="240" w:lineRule="auto"/>
              <w:pStyle w:val="Compact"/>
              <w:jc w:val="left"/>
            </w:pPr>
            <w:r>
              <w:rPr>
                <w:sz w:val="20"/>
                <w:szCs w:val="20"/>
              </w:rPr>
              <w:t xml:space="preserve">Description</w:t>
            </w:r>
          </w:p>
        </w:tc>
      </w:tr>
      <w:tr>
        <w:tc>
          <w:tcPr>
            <w:tcW w:w="334" w:type="dxa"/>
          </w:tcPr>
          <w:tcPr/>
          <w:p>
            <w:pPr>
              <w:spacing w:after="0" w:line="240" w:lineRule="auto"/>
              <w:pStyle w:val="Compact"/>
              <w:jc w:val="center"/>
            </w:pPr>
            <w:r>
              <w:rPr>
                <w:sz w:val="20"/>
                <w:szCs w:val="20"/>
              </w:rPr>
              <w:t xml:space="preserve">1</w:t>
            </w:r>
          </w:p>
        </w:tc>
        <w:tc>
          <w:tcPr>
            <w:tcW w:w="1789" w:type="dxa"/>
          </w:tcPr>
          <w:tcPr/>
          <w:p>
            <w:pPr>
              <w:spacing w:after="0" w:line="240" w:lineRule="auto"/>
              <w:pStyle w:val="Compact"/>
              <w:jc w:val="left"/>
            </w:pPr>
            <w:r>
              <w:rPr>
                <w:sz w:val="20"/>
                <w:szCs w:val="20"/>
              </w:rPr>
              <w:t xml:space="preserve">Work and related</w:t>
            </w:r>
          </w:p>
        </w:tc>
        <w:tc>
          <w:tcPr>
            <w:tcW w:w="7237" w:type="dxa"/>
          </w:tcPr>
          <w:tcPr/>
          <w:p>
            <w:pPr>
              <w:spacing w:after="0" w:line="240" w:lineRule="auto"/>
              <w:pStyle w:val="Compact"/>
              <w:jc w:val="left"/>
            </w:pPr>
            <w:r>
              <w:rPr>
                <w:sz w:val="20"/>
                <w:szCs w:val="20"/>
              </w:rPr>
              <w:t xml:space="preserve">Paid or unpaid work, job searching, overtime, and work-related breaks or idle time (excluding travel)</w:t>
            </w:r>
          </w:p>
        </w:tc>
      </w:tr>
      <w:tr>
        <w:tc>
          <w:tcPr>
            <w:tcW w:w="334" w:type="dxa"/>
          </w:tcPr>
          <w:tcPr/>
          <w:p>
            <w:pPr>
              <w:spacing w:after="0" w:line="240" w:lineRule="auto"/>
              <w:pStyle w:val="Compact"/>
              <w:jc w:val="center"/>
            </w:pPr>
            <w:r>
              <w:rPr>
                <w:sz w:val="20"/>
                <w:szCs w:val="20"/>
              </w:rPr>
              <w:t xml:space="preserve">2</w:t>
            </w:r>
          </w:p>
        </w:tc>
        <w:tc>
          <w:tcPr>
            <w:tcW w:w="1789" w:type="dxa"/>
          </w:tcPr>
          <w:tcPr/>
          <w:p>
            <w:pPr>
              <w:spacing w:after="0" w:line="240" w:lineRule="auto"/>
              <w:pStyle w:val="Compact"/>
              <w:jc w:val="left"/>
            </w:pPr>
            <w:r>
              <w:rPr>
                <w:sz w:val="20"/>
                <w:szCs w:val="20"/>
              </w:rPr>
              <w:t xml:space="preserve">Household work and maintenance</w:t>
            </w:r>
          </w:p>
        </w:tc>
        <w:tc>
          <w:tcPr>
            <w:tcW w:w="7237" w:type="dxa"/>
          </w:tcPr>
          <w:tcPr/>
          <w:p>
            <w:pPr>
              <w:spacing w:after="0" w:line="240" w:lineRule="auto"/>
              <w:pStyle w:val="Compact"/>
              <w:jc w:val="left"/>
            </w:pPr>
            <w:r>
              <w:rPr>
                <w:sz w:val="20"/>
                <w:szCs w:val="20"/>
              </w:rPr>
              <w:t xml:space="preserve">Cooking, cleaning, laundry, repairs, gardening, pet and plant care, household finances and organisation</w:t>
            </w:r>
          </w:p>
        </w:tc>
      </w:tr>
      <w:tr>
        <w:tc>
          <w:tcPr>
            <w:tcW w:w="334" w:type="dxa"/>
          </w:tcPr>
          <w:tcPr/>
          <w:p>
            <w:pPr>
              <w:spacing w:after="0" w:line="240" w:lineRule="auto"/>
              <w:pStyle w:val="Compact"/>
              <w:jc w:val="center"/>
            </w:pPr>
            <w:r>
              <w:rPr>
                <w:sz w:val="20"/>
                <w:szCs w:val="20"/>
              </w:rPr>
              <w:t xml:space="preserve">3</w:t>
            </w:r>
          </w:p>
        </w:tc>
        <w:tc>
          <w:tcPr>
            <w:tcW w:w="1789" w:type="dxa"/>
          </w:tcPr>
          <w:tcPr/>
          <w:p>
            <w:pPr>
              <w:spacing w:after="0" w:line="240" w:lineRule="auto"/>
              <w:pStyle w:val="Compact"/>
              <w:jc w:val="left"/>
            </w:pPr>
            <w:r>
              <w:rPr>
                <w:sz w:val="20"/>
                <w:szCs w:val="20"/>
              </w:rPr>
              <w:t xml:space="preserve">Caregiving and help</w:t>
            </w:r>
          </w:p>
        </w:tc>
        <w:tc>
          <w:tcPr>
            <w:tcW w:w="7237" w:type="dxa"/>
          </w:tcPr>
          <w:tcPr/>
          <w:p>
            <w:pPr>
              <w:spacing w:after="0" w:line="240" w:lineRule="auto"/>
              <w:pStyle w:val="Compact"/>
              <w:jc w:val="left"/>
            </w:pPr>
            <w:r>
              <w:rPr>
                <w:sz w:val="20"/>
                <w:szCs w:val="20"/>
              </w:rPr>
              <w:t xml:space="preserve">Caring for children, adults or non-household members, including physical, emotional or medical help</w:t>
            </w:r>
          </w:p>
        </w:tc>
      </w:tr>
      <w:tr>
        <w:tc>
          <w:tcPr>
            <w:tcW w:w="334" w:type="dxa"/>
          </w:tcPr>
          <w:tcPr/>
          <w:p>
            <w:pPr>
              <w:spacing w:after="0" w:line="240" w:lineRule="auto"/>
              <w:pStyle w:val="Compact"/>
              <w:jc w:val="center"/>
            </w:pPr>
            <w:r>
              <w:rPr>
                <w:sz w:val="20"/>
                <w:szCs w:val="20"/>
              </w:rPr>
              <w:t xml:space="preserve">4</w:t>
            </w:r>
          </w:p>
        </w:tc>
        <w:tc>
          <w:tcPr>
            <w:tcW w:w="1789" w:type="dxa"/>
          </w:tcPr>
          <w:tcPr/>
          <w:p>
            <w:pPr>
              <w:spacing w:after="0" w:line="240" w:lineRule="auto"/>
              <w:pStyle w:val="Compact"/>
              <w:jc w:val="left"/>
            </w:pPr>
            <w:r>
              <w:rPr>
                <w:sz w:val="20"/>
                <w:szCs w:val="20"/>
              </w:rPr>
              <w:t xml:space="preserve">Purchasing goods and services</w:t>
            </w:r>
          </w:p>
        </w:tc>
        <w:tc>
          <w:tcPr>
            <w:tcW w:w="7237" w:type="dxa"/>
          </w:tcPr>
          <w:tcPr/>
          <w:p>
            <w:pPr>
              <w:spacing w:after="0" w:line="240" w:lineRule="auto"/>
              <w:pStyle w:val="Compact"/>
              <w:jc w:val="left"/>
            </w:pPr>
            <w:r>
              <w:rPr>
                <w:sz w:val="20"/>
                <w:szCs w:val="20"/>
              </w:rPr>
              <w:t xml:space="preserve">Shopping, errands, and personal, financial, government, medical or professional services</w:t>
            </w:r>
          </w:p>
        </w:tc>
      </w:tr>
      <w:tr>
        <w:tc>
          <w:tcPr>
            <w:tcW w:w="334" w:type="dxa"/>
          </w:tcPr>
          <w:tcPr/>
          <w:p>
            <w:pPr>
              <w:spacing w:after="0" w:line="240" w:lineRule="auto"/>
              <w:pStyle w:val="Compact"/>
              <w:jc w:val="center"/>
            </w:pPr>
            <w:r>
              <w:rPr>
                <w:sz w:val="20"/>
                <w:szCs w:val="20"/>
              </w:rPr>
              <w:t xml:space="preserve">5</w:t>
            </w:r>
          </w:p>
        </w:tc>
        <w:tc>
          <w:tcPr>
            <w:tcW w:w="1789" w:type="dxa"/>
          </w:tcPr>
          <w:tcPr/>
          <w:p>
            <w:pPr>
              <w:spacing w:after="0" w:line="240" w:lineRule="auto"/>
              <w:pStyle w:val="Compact"/>
              <w:jc w:val="left"/>
            </w:pPr>
            <w:r>
              <w:rPr>
                <w:sz w:val="20"/>
                <w:szCs w:val="20"/>
              </w:rPr>
              <w:t xml:space="preserve">Sleep, naps and resting</w:t>
            </w:r>
          </w:p>
        </w:tc>
        <w:tc>
          <w:tcPr>
            <w:tcW w:w="7237" w:type="dxa"/>
          </w:tcPr>
          <w:tcPr/>
          <w:p>
            <w:pPr>
              <w:spacing w:after="0" w:line="240" w:lineRule="auto"/>
              <w:pStyle w:val="Compact"/>
              <w:jc w:val="left"/>
            </w:pPr>
            <w:r>
              <w:rPr>
                <w:sz w:val="20"/>
                <w:szCs w:val="20"/>
              </w:rPr>
              <w:t xml:space="preserve">Night sleep, naps, or lying down to rest</w:t>
            </w:r>
          </w:p>
        </w:tc>
      </w:tr>
      <w:tr>
        <w:tc>
          <w:tcPr>
            <w:tcW w:w="334" w:type="dxa"/>
          </w:tcPr>
          <w:tcPr/>
          <w:p>
            <w:pPr>
              <w:spacing w:after="0" w:line="240" w:lineRule="auto"/>
              <w:pStyle w:val="Compact"/>
              <w:jc w:val="center"/>
            </w:pPr>
            <w:r>
              <w:rPr>
                <w:sz w:val="20"/>
                <w:szCs w:val="20"/>
              </w:rPr>
              <w:t xml:space="preserve">6</w:t>
            </w:r>
          </w:p>
        </w:tc>
        <w:tc>
          <w:tcPr>
            <w:tcW w:w="1789" w:type="dxa"/>
          </w:tcPr>
          <w:tcPr/>
          <w:p>
            <w:pPr>
              <w:spacing w:after="0" w:line="240" w:lineRule="auto"/>
              <w:pStyle w:val="Compact"/>
              <w:jc w:val="left"/>
            </w:pPr>
            <w:r>
              <w:rPr>
                <w:sz w:val="20"/>
                <w:szCs w:val="20"/>
              </w:rPr>
              <w:t xml:space="preserve">Eating and drinking</w:t>
            </w:r>
          </w:p>
        </w:tc>
        <w:tc>
          <w:tcPr>
            <w:tcW w:w="7237" w:type="dxa"/>
          </w:tcPr>
          <w:tcPr/>
          <w:p>
            <w:pPr>
              <w:spacing w:after="0" w:line="240" w:lineRule="auto"/>
              <w:pStyle w:val="Compact"/>
              <w:jc w:val="left"/>
            </w:pPr>
            <w:r>
              <w:rPr>
                <w:sz w:val="20"/>
                <w:szCs w:val="20"/>
              </w:rPr>
              <w:t xml:space="preserve">All eating and drinking, at home or away</w:t>
            </w:r>
          </w:p>
        </w:tc>
      </w:tr>
      <w:tr>
        <w:tc>
          <w:tcPr>
            <w:tcW w:w="334" w:type="dxa"/>
          </w:tcPr>
          <w:tcPr/>
          <w:p>
            <w:pPr>
              <w:spacing w:after="0" w:line="240" w:lineRule="auto"/>
              <w:pStyle w:val="Compact"/>
              <w:jc w:val="center"/>
            </w:pPr>
            <w:r>
              <w:rPr>
                <w:sz w:val="20"/>
                <w:szCs w:val="20"/>
              </w:rPr>
              <w:t xml:space="preserve">7</w:t>
            </w:r>
          </w:p>
        </w:tc>
        <w:tc>
          <w:tcPr>
            <w:tcW w:w="1789" w:type="dxa"/>
          </w:tcPr>
          <w:tcPr/>
          <w:p>
            <w:pPr>
              <w:spacing w:after="0" w:line="240" w:lineRule="auto"/>
              <w:pStyle w:val="Compact"/>
              <w:jc w:val="left"/>
            </w:pPr>
            <w:r>
              <w:rPr>
                <w:sz w:val="20"/>
                <w:szCs w:val="20"/>
              </w:rPr>
              <w:t xml:space="preserve">Personal care</w:t>
            </w:r>
          </w:p>
        </w:tc>
        <w:tc>
          <w:tcPr>
            <w:tcW w:w="7237" w:type="dxa"/>
          </w:tcPr>
          <w:tcPr/>
          <w:p>
            <w:pPr>
              <w:spacing w:after="0" w:line="240" w:lineRule="auto"/>
              <w:pStyle w:val="Compact"/>
              <w:jc w:val="left"/>
            </w:pPr>
            <w:r>
              <w:rPr>
                <w:sz w:val="20"/>
                <w:szCs w:val="20"/>
              </w:rPr>
              <w:t xml:space="preserve">Grooming, hygiene, personal medical care and private activities</w:t>
            </w:r>
          </w:p>
        </w:tc>
      </w:tr>
      <w:tr>
        <w:tc>
          <w:tcPr>
            <w:tcW w:w="334" w:type="dxa"/>
          </w:tcPr>
          <w:tcPr/>
          <w:p>
            <w:pPr>
              <w:spacing w:after="0" w:line="240" w:lineRule="auto"/>
              <w:pStyle w:val="Compact"/>
              <w:jc w:val="center"/>
            </w:pPr>
            <w:r>
              <w:rPr>
                <w:sz w:val="20"/>
                <w:szCs w:val="20"/>
              </w:rPr>
              <w:t xml:space="preserve">8</w:t>
            </w:r>
          </w:p>
        </w:tc>
        <w:tc>
          <w:tcPr>
            <w:tcW w:w="1789" w:type="dxa"/>
          </w:tcPr>
          <w:tcPr/>
          <w:p>
            <w:pPr>
              <w:spacing w:after="0" w:line="240" w:lineRule="auto"/>
              <w:pStyle w:val="Compact"/>
              <w:jc w:val="left"/>
            </w:pPr>
            <w:r>
              <w:rPr>
                <w:sz w:val="20"/>
                <w:szCs w:val="20"/>
              </w:rPr>
              <w:t xml:space="preserve">Education</w:t>
            </w:r>
          </w:p>
        </w:tc>
        <w:tc>
          <w:tcPr>
            <w:tcW w:w="7237" w:type="dxa"/>
          </w:tcPr>
          <w:tcPr/>
          <w:p>
            <w:pPr>
              <w:spacing w:after="0" w:line="240" w:lineRule="auto"/>
              <w:pStyle w:val="Compact"/>
              <w:jc w:val="left"/>
            </w:pPr>
            <w:r>
              <w:rPr>
                <w:sz w:val="20"/>
                <w:szCs w:val="20"/>
              </w:rPr>
              <w:t xml:space="preserve">Attending classes, studying, homework, school or training events</w:t>
            </w:r>
          </w:p>
        </w:tc>
      </w:tr>
      <w:tr>
        <w:tc>
          <w:tcPr>
            <w:tcW w:w="334" w:type="dxa"/>
          </w:tcPr>
          <w:tcPr/>
          <w:p>
            <w:pPr>
              <w:spacing w:after="0" w:line="240" w:lineRule="auto"/>
              <w:pStyle w:val="Compact"/>
              <w:jc w:val="center"/>
            </w:pPr>
            <w:r>
              <w:rPr>
                <w:sz w:val="20"/>
                <w:szCs w:val="20"/>
              </w:rPr>
              <w:t xml:space="preserve">9</w:t>
            </w:r>
          </w:p>
        </w:tc>
        <w:tc>
          <w:tcPr>
            <w:tcW w:w="1789" w:type="dxa"/>
          </w:tcPr>
          <w:tcPr/>
          <w:p>
            <w:pPr>
              <w:spacing w:after="0" w:line="240" w:lineRule="auto"/>
              <w:pStyle w:val="Compact"/>
              <w:jc w:val="left"/>
            </w:pPr>
            <w:r>
              <w:rPr>
                <w:sz w:val="20"/>
                <w:szCs w:val="20"/>
              </w:rPr>
              <w:t xml:space="preserve">Socialising</w:t>
            </w:r>
          </w:p>
        </w:tc>
        <w:tc>
          <w:tcPr>
            <w:tcW w:w="7237" w:type="dxa"/>
          </w:tcPr>
          <w:tcPr/>
          <w:p>
            <w:pPr>
              <w:spacing w:after="0" w:line="240" w:lineRule="auto"/>
              <w:pStyle w:val="Compact"/>
              <w:jc w:val="left"/>
            </w:pPr>
            <w:r>
              <w:rPr>
                <w:sz w:val="20"/>
                <w:szCs w:val="20"/>
              </w:rPr>
              <w:t xml:space="preserve">Visiting, parties, weddings, bars, clubs or other direct social contact</w:t>
            </w:r>
          </w:p>
        </w:tc>
      </w:tr>
      <w:tr>
        <w:tc>
          <w:tcPr>
            <w:tcW w:w="334" w:type="dxa"/>
          </w:tcPr>
          <w:tcPr/>
          <w:p>
            <w:pPr>
              <w:spacing w:after="0" w:line="240" w:lineRule="auto"/>
              <w:pStyle w:val="Compact"/>
              <w:jc w:val="center"/>
            </w:pPr>
            <w:r>
              <w:rPr>
                <w:sz w:val="20"/>
                <w:szCs w:val="20"/>
              </w:rPr>
              <w:t xml:space="preserve">10</w:t>
            </w:r>
          </w:p>
        </w:tc>
        <w:tc>
          <w:tcPr>
            <w:tcW w:w="1789" w:type="dxa"/>
          </w:tcPr>
          <w:tcPr/>
          <w:p>
            <w:pPr>
              <w:spacing w:after="0" w:line="240" w:lineRule="auto"/>
              <w:pStyle w:val="Compact"/>
              <w:jc w:val="left"/>
            </w:pPr>
            <w:r>
              <w:rPr>
                <w:sz w:val="20"/>
                <w:szCs w:val="20"/>
              </w:rPr>
              <w:t xml:space="preserve">Passive leisure</w:t>
            </w:r>
          </w:p>
        </w:tc>
        <w:tc>
          <w:tcPr>
            <w:tcW w:w="7237" w:type="dxa"/>
          </w:tcPr>
          <w:tcPr/>
          <w:p>
            <w:pPr>
              <w:spacing w:after="0" w:line="240" w:lineRule="auto"/>
              <w:pStyle w:val="Compact"/>
              <w:jc w:val="left"/>
            </w:pPr>
            <w:r>
              <w:rPr>
                <w:sz w:val="20"/>
                <w:szCs w:val="20"/>
              </w:rPr>
              <w:t xml:space="preserve">Relaxing, reading, watching television, gaming, listening to music, meditation or private prayer</w:t>
            </w:r>
          </w:p>
        </w:tc>
      </w:tr>
      <w:tr>
        <w:tc>
          <w:tcPr>
            <w:tcW w:w="334" w:type="dxa"/>
          </w:tcPr>
          <w:tcPr/>
          <w:p>
            <w:pPr>
              <w:spacing w:after="0" w:line="240" w:lineRule="auto"/>
              <w:pStyle w:val="Compact"/>
              <w:jc w:val="center"/>
            </w:pPr>
            <w:r>
              <w:rPr>
                <w:sz w:val="20"/>
                <w:szCs w:val="20"/>
              </w:rPr>
              <w:t xml:space="preserve">11</w:t>
            </w:r>
          </w:p>
        </w:tc>
        <w:tc>
          <w:tcPr>
            <w:tcW w:w="1789" w:type="dxa"/>
          </w:tcPr>
          <w:tcPr/>
          <w:p>
            <w:pPr>
              <w:spacing w:after="0" w:line="240" w:lineRule="auto"/>
              <w:pStyle w:val="Compact"/>
              <w:jc w:val="left"/>
            </w:pPr>
            <w:r>
              <w:rPr>
                <w:sz w:val="20"/>
                <w:szCs w:val="20"/>
              </w:rPr>
              <w:t xml:space="preserve">Active leisure</w:t>
            </w:r>
          </w:p>
        </w:tc>
        <w:tc>
          <w:tcPr>
            <w:tcW w:w="7237" w:type="dxa"/>
          </w:tcPr>
          <w:tcPr/>
          <w:p>
            <w:pPr>
              <w:spacing w:after="0" w:line="240" w:lineRule="auto"/>
              <w:pStyle w:val="Compact"/>
              <w:jc w:val="left"/>
            </w:pPr>
            <w:r>
              <w:rPr>
                <w:sz w:val="20"/>
                <w:szCs w:val="20"/>
              </w:rPr>
              <w:t xml:space="preserve">Sports, exercise, hobbies, outdoor recreation, arts or dancing</w:t>
            </w:r>
          </w:p>
        </w:tc>
      </w:tr>
      <w:tr>
        <w:tc>
          <w:tcPr>
            <w:tcW w:w="334" w:type="dxa"/>
          </w:tcPr>
          <w:tcPr/>
          <w:p>
            <w:pPr>
              <w:spacing w:after="0" w:line="240" w:lineRule="auto"/>
              <w:pStyle w:val="Compact"/>
              <w:jc w:val="center"/>
            </w:pPr>
            <w:r>
              <w:rPr>
                <w:sz w:val="20"/>
                <w:szCs w:val="20"/>
              </w:rPr>
              <w:t xml:space="preserve">12</w:t>
            </w:r>
          </w:p>
        </w:tc>
        <w:tc>
          <w:tcPr>
            <w:tcW w:w="1789" w:type="dxa"/>
          </w:tcPr>
          <w:tcPr/>
          <w:p>
            <w:pPr>
              <w:spacing w:after="0" w:line="240" w:lineRule="auto"/>
              <w:pStyle w:val="Compact"/>
              <w:jc w:val="left"/>
            </w:pPr>
            <w:r>
              <w:rPr>
                <w:sz w:val="20"/>
                <w:szCs w:val="20"/>
              </w:rPr>
              <w:t xml:space="preserve">Community and volunteer</w:t>
            </w:r>
          </w:p>
        </w:tc>
        <w:tc>
          <w:tcPr>
            <w:tcW w:w="7237" w:type="dxa"/>
          </w:tcPr>
          <w:tcPr/>
          <w:p>
            <w:pPr>
              <w:spacing w:after="0" w:line="240" w:lineRule="auto"/>
              <w:pStyle w:val="Compact"/>
              <w:jc w:val="left"/>
            </w:pPr>
            <w:r>
              <w:rPr>
                <w:sz w:val="20"/>
                <w:szCs w:val="20"/>
              </w:rPr>
              <w:t xml:space="preserve">Civic participation, religious services, volunteering and organised community activities</w:t>
            </w:r>
          </w:p>
        </w:tc>
      </w:tr>
      <w:tr>
        <w:tc>
          <w:tcPr>
            <w:tcW w:w="334" w:type="dxa"/>
          </w:tcPr>
          <w:tcPr/>
          <w:p>
            <w:pPr>
              <w:spacing w:after="0" w:line="240" w:lineRule="auto"/>
              <w:pStyle w:val="Compact"/>
              <w:jc w:val="center"/>
            </w:pPr>
            <w:r>
              <w:rPr>
                <w:sz w:val="20"/>
                <w:szCs w:val="20"/>
              </w:rPr>
              <w:t xml:space="preserve">13</w:t>
            </w:r>
          </w:p>
        </w:tc>
        <w:tc>
          <w:tcPr>
            <w:tcW w:w="1789" w:type="dxa"/>
          </w:tcPr>
          <w:tcPr/>
          <w:p>
            <w:pPr>
              <w:spacing w:after="0" w:line="240" w:lineRule="auto"/>
              <w:pStyle w:val="Compact"/>
              <w:jc w:val="left"/>
            </w:pPr>
            <w:r>
              <w:rPr>
                <w:sz w:val="20"/>
                <w:szCs w:val="20"/>
              </w:rPr>
              <w:t xml:space="preserve">Travel</w:t>
            </w:r>
          </w:p>
        </w:tc>
        <w:tc>
          <w:tcPr>
            <w:tcW w:w="7237" w:type="dxa"/>
          </w:tcPr>
          <w:tcPr/>
          <w:p>
            <w:pPr>
              <w:spacing w:after="0" w:line="240" w:lineRule="auto"/>
              <w:pStyle w:val="Compact"/>
              <w:jc w:val="left"/>
            </w:pPr>
            <w:r>
              <w:rPr>
                <w:sz w:val="20"/>
                <w:szCs w:val="20"/>
              </w:rPr>
              <w:t xml:space="preserve">All travel between locations, for any purpose</w:t>
            </w:r>
          </w:p>
        </w:tc>
      </w:tr>
      <w:tr>
        <w:tc>
          <w:tcPr>
            <w:tcW w:w="334" w:type="dxa"/>
          </w:tcPr>
          <w:tcPr/>
          <w:p>
            <w:pPr>
              <w:spacing w:after="0" w:line="240" w:lineRule="auto"/>
              <w:pStyle w:val="Compact"/>
              <w:jc w:val="center"/>
            </w:pPr>
            <w:r>
              <w:rPr>
                <w:sz w:val="20"/>
                <w:szCs w:val="20"/>
              </w:rPr>
              <w:t xml:space="preserve">14</w:t>
            </w:r>
          </w:p>
        </w:tc>
        <w:tc>
          <w:tcPr>
            <w:tcW w:w="1789" w:type="dxa"/>
          </w:tcPr>
          <w:tcPr/>
          <w:p>
            <w:pPr>
              <w:spacing w:after="0" w:line="240" w:lineRule="auto"/>
              <w:pStyle w:val="Compact"/>
              <w:jc w:val="left"/>
            </w:pPr>
            <w:r>
              <w:rPr>
                <w:sz w:val="20"/>
                <w:szCs w:val="20"/>
              </w:rPr>
              <w:t xml:space="preserve">Miscellaneous or idle</w:t>
            </w:r>
          </w:p>
        </w:tc>
        <w:tc>
          <w:tcPr>
            <w:tcW w:w="7237" w:type="dxa"/>
          </w:tcPr>
          <w:tcPr/>
          <w:p>
            <w:pPr>
              <w:spacing w:after="0" w:line="240" w:lineRule="auto"/>
              <w:pStyle w:val="Compact"/>
              <w:jc w:val="left"/>
            </w:pPr>
            <w:r>
              <w:rPr>
                <w:sz w:val="20"/>
                <w:szCs w:val="20"/>
              </w:rPr>
              <w:t xml:space="preserve">Waiting, unspecified or unclassifiable time</w:t>
            </w:r>
          </w:p>
        </w:tc>
      </w:tr>
    </w:tbl>
    <w:p>
      <w:pPr>
        <w:pStyle w:val="BodyText"/>
      </w:pPr>
      <w:r>
        <w:t xml:space="preserve">Table B2. Harmonised location and presence categories.</w:t>
      </w:r>
    </w:p>
    <w:tbl>
      <w:tblPr>
        <w:tblStyle w:val="Table"/>
        <w:tblW w:type="pct" w:w="5000"/>
        <w:tblLayout w:type="fixed"/>
        <w:tblCellMar>
          <w:left w:w="72" w:type="dxa"/>
          <w:right w:w="72" w:type="dxa"/>
        </w:tblCellMar>
        <w:tblLook w:firstRow="1" w:lastRow="0" w:firstColumn="0" w:lastColumn="0" w:noHBand="0" w:noVBand="0" w:val="0020"/>
      </w:tblPr>
      <w:tblGrid>
        <w:gridCol w:w="524"/>
        <w:gridCol w:w="1523"/>
        <w:gridCol w:w="2811"/>
        <w:gridCol w:w="524"/>
        <w:gridCol w:w="1189"/>
        <w:gridCol w:w="2789"/>
      </w:tblGrid>
      <w:tr>
        <w:trPr>
          <w:tblHeader w:val="on"/>
        </w:trPr>
        <w:tc>
          <w:tcPr>
            <w:tcW w:w="524" w:type="dxa"/>
          </w:tcPr>
          <w:tcPr/>
          <w:p>
            <w:pPr>
              <w:spacing w:after="0" w:line="240" w:lineRule="auto"/>
              <w:pStyle w:val="Compact"/>
              <w:jc w:val="center"/>
            </w:pPr>
            <w:r>
              <w:rPr>
                <w:sz w:val="20"/>
                <w:szCs w:val="20"/>
              </w:rPr>
              <w:t xml:space="preserve">Code</w:t>
            </w:r>
          </w:p>
        </w:tc>
        <w:tc>
          <w:tcPr>
            <w:tcW w:w="1523" w:type="dxa"/>
          </w:tcPr>
          <w:tcPr/>
          <w:p>
            <w:pPr>
              <w:spacing w:after="0" w:line="240" w:lineRule="auto"/>
              <w:pStyle w:val="Compact"/>
              <w:jc w:val="left"/>
            </w:pPr>
            <w:r>
              <w:rPr>
                <w:sz w:val="20"/>
                <w:szCs w:val="20"/>
              </w:rPr>
              <w:t xml:space="preserve">Description</w:t>
            </w:r>
          </w:p>
        </w:tc>
        <w:tc>
          <w:tcPr>
            <w:tcW w:w="2811" w:type="dxa"/>
          </w:tcPr>
          <w:tcPr/>
          <w:p>
            <w:pPr>
              <w:spacing w:after="0" w:line="240" w:lineRule="auto"/>
              <w:pStyle w:val="Compact"/>
              <w:jc w:val="left"/>
            </w:pPr>
            <w:r>
              <w:rPr>
                <w:sz w:val="20"/>
                <w:szCs w:val="20"/>
              </w:rPr>
              <w:t xml:space="preserve">Original context (merged)</w:t>
            </w:r>
          </w:p>
        </w:tc>
        <w:tc>
          <w:tcPr>
            <w:tcW w:w="524" w:type="dxa"/>
          </w:tcPr>
          <w:tcPr/>
          <w:p>
            <w:pPr>
              <w:spacing w:after="0" w:line="240" w:lineRule="auto"/>
              <w:pStyle w:val="Compact"/>
              <w:jc w:val="center"/>
            </w:pPr>
            <w:r>
              <w:rPr>
                <w:sz w:val="20"/>
                <w:szCs w:val="20"/>
              </w:rPr>
              <w:t xml:space="preserve">Code</w:t>
            </w:r>
          </w:p>
        </w:tc>
        <w:tc>
          <w:tcPr>
            <w:tcW w:w="1189" w:type="dxa"/>
          </w:tcPr>
          <w:tcPr/>
          <w:p>
            <w:pPr>
              <w:spacing w:after="0" w:line="240" w:lineRule="auto"/>
              <w:pStyle w:val="Compact"/>
              <w:jc w:val="left"/>
            </w:pPr>
            <w:r>
              <w:rPr>
                <w:sz w:val="20"/>
                <w:szCs w:val="20"/>
              </w:rPr>
              <w:t xml:space="preserve">Description</w:t>
            </w:r>
          </w:p>
        </w:tc>
        <w:tc>
          <w:tcPr>
            <w:tcW w:w="2789" w:type="dxa"/>
          </w:tcPr>
          <w:tcPr/>
          <w:p>
            <w:pPr>
              <w:spacing w:after="0" w:line="240" w:lineRule="auto"/>
              <w:pStyle w:val="Compact"/>
              <w:jc w:val="left"/>
            </w:pPr>
            <w:r>
              <w:rPr>
                <w:sz w:val="20"/>
                <w:szCs w:val="20"/>
              </w:rPr>
              <w:t xml:space="preserve">Original context (merged)</w:t>
            </w:r>
          </w:p>
        </w:tc>
      </w:tr>
      <w:tr>
        <w:tc>
          <w:tcPr>
            <w:tcW w:w="524" w:type="dxa"/>
          </w:tcPr>
          <w:tcPr/>
          <w:p>
            <w:pPr>
              <w:spacing w:after="0" w:line="240" w:lineRule="auto"/>
              <w:pStyle w:val="Compact"/>
              <w:jc w:val="center"/>
            </w:pPr>
            <w:r>
              <w:rPr>
                <w:sz w:val="20"/>
                <w:szCs w:val="20"/>
              </w:rPr>
              <w:t xml:space="preserve">1</w:t>
            </w:r>
          </w:p>
        </w:tc>
        <w:tc>
          <w:tcPr>
            <w:tcW w:w="1523" w:type="dxa"/>
          </w:tcPr>
          <w:tcPr/>
          <w:p>
            <w:pPr>
              <w:spacing w:after="0" w:line="240" w:lineRule="auto"/>
              <w:pStyle w:val="Compact"/>
              <w:jc w:val="left"/>
            </w:pPr>
            <w:r>
              <w:rPr>
                <w:sz w:val="20"/>
                <w:szCs w:val="20"/>
              </w:rPr>
              <w:t xml:space="preserve">Respondent’s home</w:t>
            </w:r>
          </w:p>
        </w:tc>
        <w:tc>
          <w:tcPr>
            <w:tcW w:w="2811" w:type="dxa"/>
          </w:tcPr>
          <w:tcPr/>
          <w:p>
            <w:pPr>
              <w:spacing w:after="0" w:line="240" w:lineRule="auto"/>
              <w:pStyle w:val="Compact"/>
              <w:jc w:val="left"/>
            </w:pPr>
            <w:r>
              <w:rPr>
                <w:sz w:val="20"/>
                <w:szCs w:val="20"/>
              </w:rPr>
              <w:t xml:space="preserve">Home, property</w:t>
            </w:r>
          </w:p>
        </w:tc>
        <w:tc>
          <w:tcPr>
            <w:tcW w:w="524" w:type="dxa"/>
          </w:tcPr>
          <w:tcPr/>
          <w:p>
            <w:pPr>
              <w:spacing w:after="0" w:line="240" w:lineRule="auto"/>
              <w:pStyle w:val="Compact"/>
              <w:jc w:val="center"/>
            </w:pPr>
            <w:r>
              <w:rPr>
                <w:sz w:val="20"/>
                <w:szCs w:val="20"/>
              </w:rPr>
              <w:t xml:space="preserve">10</w:t>
            </w:r>
          </w:p>
        </w:tc>
        <w:tc>
          <w:tcPr>
            <w:tcW w:w="1189" w:type="dxa"/>
          </w:tcPr>
          <w:tcPr/>
          <w:p>
            <w:pPr>
              <w:spacing w:after="0" w:line="240" w:lineRule="auto"/>
              <w:pStyle w:val="Compact"/>
              <w:jc w:val="left"/>
            </w:pPr>
            <w:r>
              <w:rPr>
                <w:sz w:val="20"/>
                <w:szCs w:val="20"/>
              </w:rPr>
              <w:t xml:space="preserve">Car (driver)</w:t>
            </w:r>
          </w:p>
        </w:tc>
        <w:tc>
          <w:tcPr>
            <w:tcW w:w="2789" w:type="dxa"/>
          </w:tcPr>
          <w:tcPr/>
          <w:p>
            <w:pPr>
              <w:spacing w:after="0" w:line="240" w:lineRule="auto"/>
              <w:pStyle w:val="Compact"/>
              <w:jc w:val="left"/>
            </w:pPr>
            <w:r>
              <w:rPr>
                <w:sz w:val="20"/>
                <w:szCs w:val="20"/>
              </w:rPr>
              <w:t xml:space="preserve">Travel, driver (car, truck, van)</w:t>
            </w:r>
          </w:p>
        </w:tc>
      </w:tr>
      <w:tr>
        <w:tc>
          <w:tcPr>
            <w:tcW w:w="524" w:type="dxa"/>
          </w:tcPr>
          <w:tcPr/>
          <w:p>
            <w:pPr>
              <w:spacing w:after="0" w:line="240" w:lineRule="auto"/>
              <w:pStyle w:val="Compact"/>
              <w:jc w:val="center"/>
            </w:pPr>
            <w:r>
              <w:rPr>
                <w:sz w:val="20"/>
                <w:szCs w:val="20"/>
              </w:rPr>
              <w:t xml:space="preserve">2</w:t>
            </w:r>
          </w:p>
        </w:tc>
        <w:tc>
          <w:tcPr>
            <w:tcW w:w="1523" w:type="dxa"/>
          </w:tcPr>
          <w:tcPr/>
          <w:p>
            <w:pPr>
              <w:spacing w:after="0" w:line="240" w:lineRule="auto"/>
              <w:pStyle w:val="Compact"/>
              <w:jc w:val="left"/>
            </w:pPr>
            <w:r>
              <w:rPr>
                <w:sz w:val="20"/>
                <w:szCs w:val="20"/>
              </w:rPr>
              <w:t xml:space="preserve">Work or school</w:t>
            </w:r>
          </w:p>
        </w:tc>
        <w:tc>
          <w:tcPr>
            <w:tcW w:w="2811" w:type="dxa"/>
          </w:tcPr>
          <w:tcPr/>
          <w:p>
            <w:pPr>
              <w:spacing w:after="0" w:line="240" w:lineRule="auto"/>
              <w:pStyle w:val="Compact"/>
              <w:jc w:val="left"/>
            </w:pPr>
            <w:r>
              <w:rPr>
                <w:sz w:val="20"/>
                <w:szCs w:val="20"/>
              </w:rPr>
              <w:t xml:space="preserve">Place of work, school, business trip</w:t>
            </w:r>
          </w:p>
        </w:tc>
        <w:tc>
          <w:tcPr>
            <w:tcW w:w="524" w:type="dxa"/>
          </w:tcPr>
          <w:tcPr/>
          <w:p>
            <w:pPr>
              <w:spacing w:after="0" w:line="240" w:lineRule="auto"/>
              <w:pStyle w:val="Compact"/>
              <w:jc w:val="center"/>
            </w:pPr>
            <w:r>
              <w:rPr>
                <w:sz w:val="20"/>
                <w:szCs w:val="20"/>
              </w:rPr>
              <w:t xml:space="preserve">11</w:t>
            </w:r>
          </w:p>
        </w:tc>
        <w:tc>
          <w:tcPr>
            <w:tcW w:w="1189" w:type="dxa"/>
          </w:tcPr>
          <w:tcPr/>
          <w:p>
            <w:pPr>
              <w:spacing w:after="0" w:line="240" w:lineRule="auto"/>
              <w:pStyle w:val="Compact"/>
              <w:jc w:val="left"/>
            </w:pPr>
            <w:r>
              <w:rPr>
                <w:sz w:val="20"/>
                <w:szCs w:val="20"/>
              </w:rPr>
              <w:t xml:space="preserve">Car (passenger)</w:t>
            </w:r>
          </w:p>
        </w:tc>
        <w:tc>
          <w:tcPr>
            <w:tcW w:w="2789" w:type="dxa"/>
          </w:tcPr>
          <w:tcPr/>
          <w:p>
            <w:pPr>
              <w:spacing w:after="0" w:line="240" w:lineRule="auto"/>
              <w:pStyle w:val="Compact"/>
              <w:jc w:val="left"/>
            </w:pPr>
            <w:r>
              <w:rPr>
                <w:sz w:val="20"/>
                <w:szCs w:val="20"/>
              </w:rPr>
              <w:t xml:space="preserve">Travel, passenger (car, truck, van)</w:t>
            </w:r>
          </w:p>
        </w:tc>
      </w:tr>
      <w:tr>
        <w:tc>
          <w:tcPr>
            <w:tcW w:w="524" w:type="dxa"/>
          </w:tcPr>
          <w:tcPr/>
          <w:p>
            <w:pPr>
              <w:spacing w:after="0" w:line="240" w:lineRule="auto"/>
              <w:pStyle w:val="Compact"/>
              <w:jc w:val="center"/>
            </w:pPr>
            <w:r>
              <w:rPr>
                <w:sz w:val="20"/>
                <w:szCs w:val="20"/>
              </w:rPr>
              <w:t xml:space="preserve">3</w:t>
            </w:r>
          </w:p>
        </w:tc>
        <w:tc>
          <w:tcPr>
            <w:tcW w:w="1523" w:type="dxa"/>
          </w:tcPr>
          <w:tcPr/>
          <w:p>
            <w:pPr>
              <w:spacing w:after="0" w:line="240" w:lineRule="auto"/>
              <w:pStyle w:val="Compact"/>
              <w:jc w:val="left"/>
            </w:pPr>
            <w:r>
              <w:rPr>
                <w:sz w:val="20"/>
                <w:szCs w:val="20"/>
              </w:rPr>
              <w:t xml:space="preserve">Someone else’s home</w:t>
            </w:r>
          </w:p>
        </w:tc>
        <w:tc>
          <w:tcPr>
            <w:tcW w:w="2811" w:type="dxa"/>
          </w:tcPr>
          <w:tcPr/>
          <w:p>
            <w:pPr>
              <w:spacing w:after="0" w:line="240" w:lineRule="auto"/>
              <w:pStyle w:val="Compact"/>
              <w:jc w:val="left"/>
            </w:pPr>
            <w:r>
              <w:rPr>
                <w:sz w:val="20"/>
                <w:szCs w:val="20"/>
              </w:rPr>
              <w:t xml:space="preserve">Friend’s or relative’s home or property</w:t>
            </w:r>
          </w:p>
        </w:tc>
        <w:tc>
          <w:tcPr>
            <w:tcW w:w="524" w:type="dxa"/>
          </w:tcPr>
          <w:tcPr/>
          <w:p>
            <w:pPr>
              <w:spacing w:after="0" w:line="240" w:lineRule="auto"/>
              <w:pStyle w:val="Compact"/>
              <w:jc w:val="center"/>
            </w:pPr>
            <w:r>
              <w:rPr>
                <w:sz w:val="20"/>
                <w:szCs w:val="20"/>
              </w:rPr>
              <w:t xml:space="preserve">12</w:t>
            </w:r>
          </w:p>
        </w:tc>
        <w:tc>
          <w:tcPr>
            <w:tcW w:w="1189" w:type="dxa"/>
          </w:tcPr>
          <w:tcPr/>
          <w:p>
            <w:pPr>
              <w:spacing w:after="0" w:line="240" w:lineRule="auto"/>
              <w:pStyle w:val="Compact"/>
              <w:jc w:val="left"/>
            </w:pPr>
            <w:r>
              <w:rPr>
                <w:sz w:val="20"/>
                <w:szCs w:val="20"/>
              </w:rPr>
              <w:t xml:space="preserve">Walk</w:t>
            </w:r>
          </w:p>
        </w:tc>
        <w:tc>
          <w:tcPr>
            <w:tcW w:w="2789" w:type="dxa"/>
          </w:tcPr>
          <w:tcPr/>
          <w:p>
            <w:pPr>
              <w:spacing w:after="0" w:line="240" w:lineRule="auto"/>
              <w:pStyle w:val="Compact"/>
              <w:jc w:val="left"/>
            </w:pPr>
            <w:r>
              <w:rPr>
                <w:sz w:val="20"/>
                <w:szCs w:val="20"/>
              </w:rPr>
              <w:t xml:space="preserve">Travel, walking</w:t>
            </w:r>
          </w:p>
        </w:tc>
      </w:tr>
      <w:tr>
        <w:tc>
          <w:tcPr>
            <w:tcW w:w="524" w:type="dxa"/>
          </w:tcPr>
          <w:tcPr/>
          <w:p>
            <w:pPr>
              <w:spacing w:after="0" w:line="240" w:lineRule="auto"/>
              <w:pStyle w:val="Compact"/>
              <w:jc w:val="center"/>
            </w:pPr>
            <w:r>
              <w:rPr>
                <w:sz w:val="20"/>
                <w:szCs w:val="20"/>
              </w:rPr>
              <w:t xml:space="preserve">4</w:t>
            </w:r>
          </w:p>
        </w:tc>
        <w:tc>
          <w:tcPr>
            <w:tcW w:w="1523" w:type="dxa"/>
          </w:tcPr>
          <w:tcPr/>
          <w:p>
            <w:pPr>
              <w:spacing w:after="0" w:line="240" w:lineRule="auto"/>
              <w:pStyle w:val="Compact"/>
              <w:jc w:val="left"/>
            </w:pPr>
            <w:r>
              <w:rPr>
                <w:sz w:val="20"/>
                <w:szCs w:val="20"/>
              </w:rPr>
              <w:t xml:space="preserve">Outdoors</w:t>
            </w:r>
          </w:p>
        </w:tc>
        <w:tc>
          <w:tcPr>
            <w:tcW w:w="2811" w:type="dxa"/>
          </w:tcPr>
          <w:tcPr/>
          <w:p>
            <w:pPr>
              <w:spacing w:after="0" w:line="240" w:lineRule="auto"/>
              <w:pStyle w:val="Compact"/>
              <w:jc w:val="left"/>
            </w:pPr>
            <w:r>
              <w:rPr>
                <w:sz w:val="20"/>
                <w:szCs w:val="20"/>
              </w:rPr>
              <w:t xml:space="preserve">Outdoors away from home, neighbourhood</w:t>
            </w:r>
          </w:p>
        </w:tc>
        <w:tc>
          <w:tcPr>
            <w:tcW w:w="524" w:type="dxa"/>
          </w:tcPr>
          <w:tcPr/>
          <w:p>
            <w:pPr>
              <w:spacing w:after="0" w:line="240" w:lineRule="auto"/>
              <w:pStyle w:val="Compact"/>
              <w:jc w:val="center"/>
            </w:pPr>
            <w:r>
              <w:rPr>
                <w:sz w:val="20"/>
                <w:szCs w:val="20"/>
              </w:rPr>
              <w:t xml:space="preserve">13</w:t>
            </w:r>
          </w:p>
        </w:tc>
        <w:tc>
          <w:tcPr>
            <w:tcW w:w="1189" w:type="dxa"/>
          </w:tcPr>
          <w:tcPr/>
          <w:p>
            <w:pPr>
              <w:spacing w:after="0" w:line="240" w:lineRule="auto"/>
              <w:pStyle w:val="Compact"/>
              <w:jc w:val="left"/>
            </w:pPr>
            <w:r>
              <w:rPr>
                <w:sz w:val="20"/>
                <w:szCs w:val="20"/>
              </w:rPr>
              <w:t xml:space="preserve">Public transit</w:t>
            </w:r>
          </w:p>
        </w:tc>
        <w:tc>
          <w:tcPr>
            <w:tcW w:w="2789" w:type="dxa"/>
          </w:tcPr>
          <w:tcPr/>
          <w:p>
            <w:pPr>
              <w:spacing w:after="0" w:line="240" w:lineRule="auto"/>
              <w:pStyle w:val="Compact"/>
              <w:jc w:val="left"/>
            </w:pPr>
            <w:r>
              <w:rPr>
                <w:sz w:val="20"/>
                <w:szCs w:val="20"/>
              </w:rPr>
              <w:t xml:space="preserve">Bus, subway, metro, light rail</w:t>
            </w:r>
          </w:p>
        </w:tc>
      </w:tr>
      <w:tr>
        <w:tc>
          <w:tcPr>
            <w:tcW w:w="524" w:type="dxa"/>
          </w:tcPr>
          <w:tcPr/>
          <w:p>
            <w:pPr>
              <w:spacing w:after="0" w:line="240" w:lineRule="auto"/>
              <w:pStyle w:val="Compact"/>
              <w:jc w:val="center"/>
            </w:pPr>
            <w:r>
              <w:rPr>
                <w:sz w:val="20"/>
                <w:szCs w:val="20"/>
              </w:rPr>
              <w:t xml:space="preserve">5</w:t>
            </w:r>
          </w:p>
        </w:tc>
        <w:tc>
          <w:tcPr>
            <w:tcW w:w="1523" w:type="dxa"/>
          </w:tcPr>
          <w:tcPr/>
          <w:p>
            <w:pPr>
              <w:spacing w:after="0" w:line="240" w:lineRule="auto"/>
              <w:pStyle w:val="Compact"/>
              <w:jc w:val="left"/>
            </w:pPr>
            <w:r>
              <w:rPr>
                <w:sz w:val="20"/>
                <w:szCs w:val="20"/>
              </w:rPr>
              <w:t xml:space="preserve">Grocery or stores</w:t>
            </w:r>
          </w:p>
        </w:tc>
        <w:tc>
          <w:tcPr>
            <w:tcW w:w="2811" w:type="dxa"/>
          </w:tcPr>
          <w:tcPr/>
          <w:p>
            <w:pPr>
              <w:spacing w:after="0" w:line="240" w:lineRule="auto"/>
              <w:pStyle w:val="Compact"/>
              <w:jc w:val="left"/>
            </w:pPr>
            <w:r>
              <w:rPr>
                <w:sz w:val="20"/>
                <w:szCs w:val="20"/>
              </w:rPr>
              <w:t xml:space="preserve">Grocery store, other store, mall</w:t>
            </w:r>
          </w:p>
        </w:tc>
        <w:tc>
          <w:tcPr>
            <w:tcW w:w="524" w:type="dxa"/>
          </w:tcPr>
          <w:tcPr/>
          <w:p>
            <w:pPr>
              <w:spacing w:after="0" w:line="240" w:lineRule="auto"/>
              <w:pStyle w:val="Compact"/>
              <w:jc w:val="center"/>
            </w:pPr>
            <w:r>
              <w:rPr>
                <w:sz w:val="20"/>
                <w:szCs w:val="20"/>
              </w:rPr>
              <w:t xml:space="preserve">14</w:t>
            </w:r>
          </w:p>
        </w:tc>
        <w:tc>
          <w:tcPr>
            <w:tcW w:w="1189" w:type="dxa"/>
          </w:tcPr>
          <w:tcPr/>
          <w:p>
            <w:pPr>
              <w:spacing w:after="0" w:line="240" w:lineRule="auto"/>
              <w:pStyle w:val="Compact"/>
              <w:jc w:val="left"/>
            </w:pPr>
            <w:r>
              <w:rPr>
                <w:sz w:val="20"/>
                <w:szCs w:val="20"/>
              </w:rPr>
              <w:t xml:space="preserve">Airplane</w:t>
            </w:r>
          </w:p>
        </w:tc>
        <w:tc>
          <w:tcPr>
            <w:tcW w:w="2789" w:type="dxa"/>
          </w:tcPr>
          <w:tcPr/>
          <w:p>
            <w:pPr>
              <w:spacing w:after="0" w:line="240" w:lineRule="auto"/>
              <w:pStyle w:val="Compact"/>
              <w:jc w:val="left"/>
            </w:pPr>
            <w:r>
              <w:rPr>
                <w:sz w:val="20"/>
                <w:szCs w:val="20"/>
              </w:rPr>
              <w:t xml:space="preserve">Travel, airplane</w:t>
            </w:r>
          </w:p>
        </w:tc>
      </w:tr>
      <w:tr>
        <w:tc>
          <w:tcPr>
            <w:tcW w:w="524" w:type="dxa"/>
          </w:tcPr>
          <w:tcPr/>
          <w:p>
            <w:pPr>
              <w:spacing w:after="0" w:line="240" w:lineRule="auto"/>
              <w:pStyle w:val="Compact"/>
              <w:jc w:val="center"/>
            </w:pPr>
            <w:r>
              <w:rPr>
                <w:sz w:val="20"/>
                <w:szCs w:val="20"/>
              </w:rPr>
              <w:t xml:space="preserve">6</w:t>
            </w:r>
          </w:p>
        </w:tc>
        <w:tc>
          <w:tcPr>
            <w:tcW w:w="1523" w:type="dxa"/>
          </w:tcPr>
          <w:tcPr/>
          <w:p>
            <w:pPr>
              <w:spacing w:after="0" w:line="240" w:lineRule="auto"/>
              <w:pStyle w:val="Compact"/>
              <w:jc w:val="left"/>
            </w:pPr>
            <w:r>
              <w:rPr>
                <w:sz w:val="20"/>
                <w:szCs w:val="20"/>
              </w:rPr>
              <w:t xml:space="preserve">Library or museum</w:t>
            </w:r>
          </w:p>
        </w:tc>
        <w:tc>
          <w:tcPr>
            <w:tcW w:w="2811" w:type="dxa"/>
          </w:tcPr>
          <w:tcPr/>
          <w:p>
            <w:pPr>
              <w:spacing w:after="0" w:line="240" w:lineRule="auto"/>
              <w:pStyle w:val="Compact"/>
              <w:jc w:val="left"/>
            </w:pPr>
            <w:r>
              <w:rPr>
                <w:sz w:val="20"/>
                <w:szCs w:val="20"/>
              </w:rPr>
              <w:t xml:space="preserve">Library, museum, theatre</w:t>
            </w:r>
          </w:p>
        </w:tc>
        <w:tc>
          <w:tcPr>
            <w:tcW w:w="524" w:type="dxa"/>
          </w:tcPr>
          <w:tcPr/>
          <w:p>
            <w:pPr>
              <w:spacing w:after="0" w:line="240" w:lineRule="auto"/>
              <w:pStyle w:val="Compact"/>
              <w:jc w:val="center"/>
            </w:pPr>
            <w:r>
              <w:rPr>
                <w:sz w:val="20"/>
                <w:szCs w:val="20"/>
              </w:rPr>
              <w:t xml:space="preserve">15</w:t>
            </w:r>
          </w:p>
        </w:tc>
        <w:tc>
          <w:tcPr>
            <w:tcW w:w="1189" w:type="dxa"/>
          </w:tcPr>
          <w:tcPr/>
          <w:p>
            <w:pPr>
              <w:spacing w:after="0" w:line="240" w:lineRule="auto"/>
              <w:pStyle w:val="Compact"/>
              <w:jc w:val="left"/>
            </w:pPr>
            <w:r>
              <w:rPr>
                <w:sz w:val="20"/>
                <w:szCs w:val="20"/>
              </w:rPr>
              <w:t xml:space="preserve">Bicycle</w:t>
            </w:r>
          </w:p>
        </w:tc>
        <w:tc>
          <w:tcPr>
            <w:tcW w:w="2789" w:type="dxa"/>
          </w:tcPr>
          <w:tcPr/>
          <w:p>
            <w:pPr>
              <w:spacing w:after="0" w:line="240" w:lineRule="auto"/>
              <w:pStyle w:val="Compact"/>
              <w:jc w:val="left"/>
            </w:pPr>
            <w:r>
              <w:rPr>
                <w:sz w:val="20"/>
                <w:szCs w:val="20"/>
              </w:rPr>
              <w:t xml:space="preserve">Travel, bicycle</w:t>
            </w:r>
          </w:p>
        </w:tc>
      </w:tr>
      <w:tr>
        <w:tc>
          <w:tcPr>
            <w:tcW w:w="524" w:type="dxa"/>
          </w:tcPr>
          <w:tcPr/>
          <w:p>
            <w:pPr>
              <w:spacing w:after="0" w:line="240" w:lineRule="auto"/>
              <w:pStyle w:val="Compact"/>
              <w:jc w:val="center"/>
            </w:pPr>
            <w:r>
              <w:rPr>
                <w:sz w:val="20"/>
                <w:szCs w:val="20"/>
              </w:rPr>
              <w:t xml:space="preserve">7</w:t>
            </w:r>
          </w:p>
        </w:tc>
        <w:tc>
          <w:tcPr>
            <w:tcW w:w="1523" w:type="dxa"/>
          </w:tcPr>
          <w:tcPr/>
          <w:p>
            <w:pPr>
              <w:spacing w:after="0" w:line="240" w:lineRule="auto"/>
              <w:pStyle w:val="Compact"/>
              <w:jc w:val="left"/>
            </w:pPr>
            <w:r>
              <w:rPr>
                <w:sz w:val="20"/>
                <w:szCs w:val="20"/>
              </w:rPr>
              <w:t xml:space="preserve">Restaurant or bar</w:t>
            </w:r>
          </w:p>
        </w:tc>
        <w:tc>
          <w:tcPr>
            <w:tcW w:w="2811" w:type="dxa"/>
          </w:tcPr>
          <w:tcPr/>
          <w:p>
            <w:pPr>
              <w:spacing w:after="0" w:line="240" w:lineRule="auto"/>
              <w:pStyle w:val="Compact"/>
              <w:jc w:val="left"/>
            </w:pPr>
            <w:r>
              <w:rPr>
                <w:sz w:val="20"/>
                <w:szCs w:val="20"/>
              </w:rPr>
              <w:t xml:space="preserve">Restaurant, bar, club</w:t>
            </w:r>
          </w:p>
        </w:tc>
        <w:tc>
          <w:tcPr>
            <w:tcW w:w="524" w:type="dxa"/>
          </w:tcPr>
          <w:tcPr/>
          <w:p>
            <w:pPr>
              <w:spacing w:after="0" w:line="240" w:lineRule="auto"/>
              <w:pStyle w:val="Compact"/>
              <w:jc w:val="center"/>
            </w:pPr>
            <w:r>
              <w:rPr>
                <w:sz w:val="20"/>
                <w:szCs w:val="20"/>
              </w:rPr>
              <w:t xml:space="preserve">16</w:t>
            </w:r>
          </w:p>
        </w:tc>
        <w:tc>
          <w:tcPr>
            <w:tcW w:w="1189" w:type="dxa"/>
          </w:tcPr>
          <w:tcPr/>
          <w:p>
            <w:pPr>
              <w:spacing w:after="0" w:line="240" w:lineRule="auto"/>
              <w:pStyle w:val="Compact"/>
              <w:jc w:val="left"/>
            </w:pPr>
            <w:r>
              <w:rPr>
                <w:sz w:val="20"/>
                <w:szCs w:val="20"/>
              </w:rPr>
              <w:t xml:space="preserve">Taxi or limousine</w:t>
            </w:r>
          </w:p>
        </w:tc>
        <w:tc>
          <w:tcPr>
            <w:tcW w:w="2789" w:type="dxa"/>
          </w:tcPr>
          <w:tcPr/>
          <w:p>
            <w:pPr>
              <w:spacing w:after="0" w:line="240" w:lineRule="auto"/>
              <w:pStyle w:val="Compact"/>
              <w:jc w:val="left"/>
            </w:pPr>
            <w:r>
              <w:rPr>
                <w:sz w:val="20"/>
                <w:szCs w:val="20"/>
              </w:rPr>
              <w:t xml:space="preserve">Travel, taxi, limousine service</w:t>
            </w:r>
          </w:p>
        </w:tc>
      </w:tr>
      <w:tr>
        <w:tc>
          <w:tcPr>
            <w:tcW w:w="524" w:type="dxa"/>
          </w:tcPr>
          <w:tcPr/>
          <w:p>
            <w:pPr>
              <w:spacing w:after="0" w:line="240" w:lineRule="auto"/>
              <w:pStyle w:val="Compact"/>
              <w:jc w:val="center"/>
            </w:pPr>
            <w:r>
              <w:rPr>
                <w:sz w:val="20"/>
                <w:szCs w:val="20"/>
              </w:rPr>
              <w:t xml:space="preserve">8</w:t>
            </w:r>
          </w:p>
        </w:tc>
        <w:tc>
          <w:tcPr>
            <w:tcW w:w="1523" w:type="dxa"/>
          </w:tcPr>
          <w:tcPr/>
          <w:p>
            <w:pPr>
              <w:spacing w:after="0" w:line="240" w:lineRule="auto"/>
              <w:pStyle w:val="Compact"/>
              <w:jc w:val="left"/>
            </w:pPr>
            <w:r>
              <w:rPr>
                <w:sz w:val="20"/>
                <w:szCs w:val="20"/>
              </w:rPr>
              <w:t xml:space="preserve">Place of worship</w:t>
            </w:r>
          </w:p>
        </w:tc>
        <w:tc>
          <w:tcPr>
            <w:tcW w:w="2811" w:type="dxa"/>
          </w:tcPr>
          <w:tcPr/>
          <w:p>
            <w:pPr>
              <w:spacing w:after="0" w:line="240" w:lineRule="auto"/>
              <w:pStyle w:val="Compact"/>
              <w:jc w:val="left"/>
            </w:pPr>
            <w:r>
              <w:rPr>
                <w:sz w:val="20"/>
                <w:szCs w:val="20"/>
              </w:rPr>
              <w:t xml:space="preserve">Religious institution</w:t>
            </w:r>
          </w:p>
        </w:tc>
        <w:tc>
          <w:tcPr>
            <w:tcW w:w="524" w:type="dxa"/>
          </w:tcPr>
          <w:tcPr/>
          <w:p>
            <w:pPr>
              <w:spacing w:after="0" w:line="240" w:lineRule="auto"/>
              <w:pStyle w:val="Compact"/>
              <w:jc w:val="center"/>
            </w:pPr>
            <w:r>
              <w:rPr>
                <w:sz w:val="20"/>
                <w:szCs w:val="20"/>
              </w:rPr>
              <w:t xml:space="preserve">17</w:t>
            </w:r>
          </w:p>
        </w:tc>
        <w:tc>
          <w:tcPr>
            <w:tcW w:w="1189" w:type="dxa"/>
          </w:tcPr>
          <w:tcPr/>
          <w:p>
            <w:pPr>
              <w:spacing w:after="0" w:line="240" w:lineRule="auto"/>
              <w:pStyle w:val="Compact"/>
              <w:jc w:val="left"/>
            </w:pPr>
            <w:r>
              <w:rPr>
                <w:sz w:val="20"/>
                <w:szCs w:val="20"/>
              </w:rPr>
              <w:t xml:space="preserve">Other transit</w:t>
            </w:r>
          </w:p>
        </w:tc>
        <w:tc>
          <w:tcPr>
            <w:tcW w:w="2789" w:type="dxa"/>
          </w:tcPr>
          <w:tcPr/>
          <w:p>
            <w:pPr>
              <w:spacing w:after="0" w:line="240" w:lineRule="auto"/>
              <w:pStyle w:val="Compact"/>
              <w:jc w:val="left"/>
            </w:pPr>
            <w:r>
              <w:rPr>
                <w:sz w:val="20"/>
                <w:szCs w:val="20"/>
              </w:rPr>
              <w:t xml:space="preserve">Boat, ferry, motorcycle, other</w:t>
            </w:r>
          </w:p>
        </w:tc>
      </w:tr>
      <w:tr>
        <w:tc>
          <w:tcPr>
            <w:tcW w:w="524" w:type="dxa"/>
          </w:tcPr>
          <w:tcPr/>
          <w:p>
            <w:pPr>
              <w:spacing w:after="0" w:line="240" w:lineRule="auto"/>
              <w:pStyle w:val="Compact"/>
              <w:jc w:val="center"/>
            </w:pPr>
            <w:r>
              <w:rPr>
                <w:sz w:val="20"/>
                <w:szCs w:val="20"/>
              </w:rPr>
              <w:t xml:space="preserve">9</w:t>
            </w:r>
          </w:p>
        </w:tc>
        <w:tc>
          <w:tcPr>
            <w:tcW w:w="1523" w:type="dxa"/>
          </w:tcPr>
          <w:tcPr/>
          <w:p>
            <w:pPr>
              <w:spacing w:after="0" w:line="240" w:lineRule="auto"/>
              <w:pStyle w:val="Compact"/>
              <w:jc w:val="left"/>
            </w:pPr>
            <w:r>
              <w:rPr>
                <w:sz w:val="20"/>
                <w:szCs w:val="20"/>
              </w:rPr>
              <w:t xml:space="preserve">Other place</w:t>
            </w:r>
          </w:p>
        </w:tc>
        <w:tc>
          <w:tcPr>
            <w:tcW w:w="2811" w:type="dxa"/>
          </w:tcPr>
          <w:tcPr/>
          <w:p>
            <w:pPr>
              <w:spacing w:after="0" w:line="240" w:lineRule="auto"/>
              <w:pStyle w:val="Compact"/>
              <w:jc w:val="left"/>
            </w:pPr>
            <w:r>
              <w:rPr>
                <w:sz w:val="20"/>
                <w:szCs w:val="20"/>
              </w:rPr>
              <w:t xml:space="preserve">Medical, dental, elsewhere</w:t>
            </w:r>
          </w:p>
        </w:tc>
        <w:tc>
          <w:tcPr>
            <w:tcW w:w="524" w:type="dxa"/>
          </w:tcPr>
          <w:tcPr/>
          <w:p>
            <w:pPr>
              <w:spacing w:after="0" w:line="240" w:lineRule="auto"/>
              <w:pStyle w:val="Compact"/>
              <w:jc w:val="center"/>
            </w:pPr>
            <w:r>
              <w:rPr>
                <w:sz w:val="20"/>
                <w:szCs w:val="20"/>
              </w:rPr>
              <w:t xml:space="preserve">18</w:t>
            </w:r>
          </w:p>
        </w:tc>
        <w:tc>
          <w:tcPr>
            <w:tcW w:w="1189" w:type="dxa"/>
          </w:tcPr>
          <w:tcPr/>
          <w:p>
            <w:pPr>
              <w:spacing w:after="0" w:line="240" w:lineRule="auto"/>
              <w:pStyle w:val="Compact"/>
              <w:jc w:val="left"/>
            </w:pPr>
            <w:r>
              <w:rPr>
                <w:sz w:val="20"/>
                <w:szCs w:val="20"/>
              </w:rPr>
              <w:t xml:space="preserve">Valid skip</w:t>
            </w:r>
          </w:p>
        </w:tc>
        <w:tc>
          <w:tcPr>
            <w:tcW w:w="2789" w:type="dxa"/>
          </w:tcPr>
          <w:tcPr/>
          <w:p>
            <w:pPr>
              <w:spacing w:after="0" w:line="240" w:lineRule="auto"/>
              <w:pStyle w:val="Compact"/>
              <w:jc w:val="left"/>
            </w:pPr>
            <w:r>
              <w:rPr>
                <w:sz w:val="20"/>
                <w:szCs w:val="20"/>
              </w:rPr>
              <w:t xml:space="preserve">Data skipped by design (for example, a child)</w:t>
            </w:r>
          </w:p>
        </w:tc>
      </w:tr>
    </w:tbl>
    <w:bookmarkEnd w:id="116"/>
    <w:bookmarkStart w:id="117" w:name="appendix-c.-supplementary-energy-results"/>
    <w:p>
      <w:pPr>
        <w:pStyle w:val="Heading2"/>
      </w:pPr>
      <w:r>
        <w:t xml:space="preserve">Appendix C. Supplementary energy results</w:t>
      </w:r>
    </w:p>
    <w:p>
      <w:pPr>
        <w:pStyle w:val="FirstParagraph"/>
      </w:pPr>
      <w:r>
        <w:t xml:space="preserve">Table C1. Annual end-use energy per unit of net conditioned floor area (kWh/m²): Default value and mean ± 95 % confidence half-width over 30 draws, per neighbourhood unit and scenario year.</w:t>
      </w:r>
    </w:p>
    <w:tbl>
      <w:tblPr>
        <w:tblStyle w:val="Table"/>
        <w:tblW w:type="pct" w:w="5000"/>
        <w:tblLayout w:type="fixed"/>
        <w:tblCellMar>
          <w:left w:w="72" w:type="dxa"/>
          <w:right w:w="72" w:type="dxa"/>
        </w:tblCellMar>
        <w:tblLook w:firstRow="1" w:lastRow="0" w:firstColumn="0" w:lastColumn="0" w:noHBand="0" w:noVBand="0" w:val="0020"/>
      </w:tblPr>
      <w:tblGrid>
        <w:gridCol w:w="570"/>
        <w:gridCol w:w="1415"/>
        <w:gridCol w:w="809"/>
        <w:gridCol w:w="1312"/>
        <w:gridCol w:w="1312"/>
        <w:gridCol w:w="1312"/>
        <w:gridCol w:w="1312"/>
        <w:gridCol w:w="1318"/>
      </w:tblGrid>
      <w:tr>
        <w:trPr>
          <w:tblHeader w:val="on"/>
        </w:trPr>
        <w:tc>
          <w:tcPr>
            <w:tcW w:w="570" w:type="dxa"/>
          </w:tcPr>
          <w:tcPr/>
          <w:p>
            <w:pPr>
              <w:spacing w:after="0" w:line="240" w:lineRule="auto"/>
              <w:pStyle w:val="Compact"/>
              <w:jc w:val="left"/>
            </w:pPr>
            <w:r>
              <w:rPr>
                <w:sz w:val="20"/>
                <w:szCs w:val="20"/>
              </w:rPr>
              <w:t xml:space="preserve">NU</w:t>
            </w:r>
          </w:p>
        </w:tc>
        <w:tc>
          <w:tcPr>
            <w:tcW w:w="1415" w:type="dxa"/>
          </w:tcPr>
          <w:tcPr/>
          <w:p>
            <w:pPr>
              <w:spacing w:after="0" w:line="240" w:lineRule="auto"/>
              <w:pStyle w:val="Compact"/>
              <w:jc w:val="left"/>
            </w:pPr>
            <w:r>
              <w:rPr>
                <w:sz w:val="20"/>
                <w:szCs w:val="20"/>
              </w:rPr>
              <w:t xml:space="preserve">End use</w:t>
            </w:r>
          </w:p>
        </w:tc>
        <w:tc>
          <w:tcPr>
            <w:tcW w:w="809" w:type="dxa"/>
          </w:tcPr>
          <w:tcPr/>
          <w:p>
            <w:pPr>
              <w:spacing w:after="0" w:line="240" w:lineRule="auto"/>
              <w:pStyle w:val="Compact"/>
              <w:jc w:val="right"/>
            </w:pPr>
            <w:r>
              <w:rPr>
                <w:sz w:val="20"/>
                <w:szCs w:val="20"/>
              </w:rPr>
              <w:t xml:space="preserve">Default</w:t>
            </w:r>
          </w:p>
        </w:tc>
        <w:tc>
          <w:tcPr>
            <w:tcW w:w="1312" w:type="dxa"/>
          </w:tcPr>
          <w:tcPr/>
          <w:p>
            <w:pPr>
              <w:spacing w:after="0" w:line="240" w:lineRule="auto"/>
              <w:pStyle w:val="Compact"/>
              <w:jc w:val="right"/>
            </w:pPr>
            <w:r>
              <w:rPr>
                <w:sz w:val="20"/>
                <w:szCs w:val="20"/>
              </w:rPr>
              <w:t xml:space="preserve">2005</w:t>
            </w:r>
          </w:p>
        </w:tc>
        <w:tc>
          <w:tcPr>
            <w:tcW w:w="1312" w:type="dxa"/>
          </w:tcPr>
          <w:tcPr/>
          <w:p>
            <w:pPr>
              <w:spacing w:after="0" w:line="240" w:lineRule="auto"/>
              <w:pStyle w:val="Compact"/>
              <w:jc w:val="right"/>
            </w:pPr>
            <w:r>
              <w:rPr>
                <w:sz w:val="20"/>
                <w:szCs w:val="20"/>
              </w:rPr>
              <w:t xml:space="preserve">2010</w:t>
            </w:r>
          </w:p>
        </w:tc>
        <w:tc>
          <w:tcPr>
            <w:tcW w:w="1312" w:type="dxa"/>
          </w:tcPr>
          <w:tcPr/>
          <w:p>
            <w:pPr>
              <w:spacing w:after="0" w:line="240" w:lineRule="auto"/>
              <w:pStyle w:val="Compact"/>
              <w:jc w:val="right"/>
            </w:pPr>
            <w:r>
              <w:rPr>
                <w:sz w:val="20"/>
                <w:szCs w:val="20"/>
              </w:rPr>
              <w:t xml:space="preserve">2015</w:t>
            </w:r>
          </w:p>
        </w:tc>
        <w:tc>
          <w:tcPr>
            <w:tcW w:w="1312" w:type="dxa"/>
          </w:tcPr>
          <w:tcPr/>
          <w:p>
            <w:pPr>
              <w:spacing w:after="0" w:line="240" w:lineRule="auto"/>
              <w:pStyle w:val="Compact"/>
              <w:jc w:val="right"/>
            </w:pPr>
            <w:r>
              <w:rPr>
                <w:sz w:val="20"/>
                <w:szCs w:val="20"/>
              </w:rPr>
              <w:t xml:space="preserve">2022</w:t>
            </w:r>
          </w:p>
        </w:tc>
        <w:tc>
          <w:tcPr>
            <w:tcW w:w="1318" w:type="dxa"/>
          </w:tcPr>
          <w:tcPr/>
          <w:p>
            <w:pPr>
              <w:spacing w:after="0" w:line="240" w:lineRule="auto"/>
              <w:pStyle w:val="Compact"/>
              <w:jc w:val="right"/>
            </w:pPr>
            <w:r>
              <w:rPr>
                <w:sz w:val="20"/>
                <w:szCs w:val="20"/>
              </w:rPr>
              <w:t xml:space="preserve">2025</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9.76</w:t>
            </w:r>
          </w:p>
        </w:tc>
        <w:tc>
          <w:tcPr>
            <w:tcW w:w="1312" w:type="dxa"/>
          </w:tcPr>
          <w:tcPr/>
          <w:p>
            <w:pPr>
              <w:spacing w:after="0" w:line="240" w:lineRule="auto"/>
              <w:pStyle w:val="Compact"/>
              <w:jc w:val="right"/>
            </w:pPr>
            <w:r>
              <w:rPr>
                <w:sz w:val="20"/>
                <w:szCs w:val="20"/>
              </w:rPr>
              <w:t xml:space="preserve">11.17 ± 0.40</w:t>
            </w:r>
          </w:p>
        </w:tc>
        <w:tc>
          <w:tcPr>
            <w:tcW w:w="1312" w:type="dxa"/>
          </w:tcPr>
          <w:tcPr/>
          <w:p>
            <w:pPr>
              <w:spacing w:after="0" w:line="240" w:lineRule="auto"/>
              <w:pStyle w:val="Compact"/>
              <w:jc w:val="right"/>
            </w:pPr>
            <w:r>
              <w:rPr>
                <w:sz w:val="20"/>
                <w:szCs w:val="20"/>
              </w:rPr>
              <w:t xml:space="preserve">11.09 ± 0.44</w:t>
            </w:r>
          </w:p>
        </w:tc>
        <w:tc>
          <w:tcPr>
            <w:tcW w:w="1312" w:type="dxa"/>
          </w:tcPr>
          <w:tcPr/>
          <w:p>
            <w:pPr>
              <w:spacing w:after="0" w:line="240" w:lineRule="auto"/>
              <w:pStyle w:val="Compact"/>
              <w:jc w:val="right"/>
            </w:pPr>
            <w:r>
              <w:rPr>
                <w:sz w:val="20"/>
                <w:szCs w:val="20"/>
              </w:rPr>
              <w:t xml:space="preserve">11.05 ± 0.46</w:t>
            </w:r>
          </w:p>
        </w:tc>
        <w:tc>
          <w:tcPr>
            <w:tcW w:w="1312" w:type="dxa"/>
          </w:tcPr>
          <w:tcPr/>
          <w:p>
            <w:pPr>
              <w:spacing w:after="0" w:line="240" w:lineRule="auto"/>
              <w:pStyle w:val="Compact"/>
              <w:jc w:val="right"/>
            </w:pPr>
            <w:r>
              <w:rPr>
                <w:sz w:val="20"/>
                <w:szCs w:val="20"/>
              </w:rPr>
              <w:t xml:space="preserve">10.44 ± 0.49</w:t>
            </w:r>
          </w:p>
        </w:tc>
        <w:tc>
          <w:tcPr>
            <w:tcW w:w="1318" w:type="dxa"/>
          </w:tcPr>
          <w:tcPr/>
          <w:p>
            <w:pPr>
              <w:spacing w:after="0" w:line="240" w:lineRule="auto"/>
              <w:pStyle w:val="Compact"/>
              <w:jc w:val="right"/>
            </w:pPr>
            <w:r>
              <w:rPr>
                <w:sz w:val="20"/>
                <w:szCs w:val="20"/>
              </w:rPr>
              <w:t xml:space="preserve">11.09 ± 0.49</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27.01</w:t>
            </w:r>
          </w:p>
        </w:tc>
        <w:tc>
          <w:tcPr>
            <w:tcW w:w="1312" w:type="dxa"/>
          </w:tcPr>
          <w:tcPr/>
          <w:p>
            <w:pPr>
              <w:spacing w:after="0" w:line="240" w:lineRule="auto"/>
              <w:pStyle w:val="Compact"/>
              <w:jc w:val="right"/>
            </w:pPr>
            <w:r>
              <w:rPr>
                <w:sz w:val="20"/>
                <w:szCs w:val="20"/>
              </w:rPr>
              <w:t xml:space="preserve">24.58 ± 0.61</w:t>
            </w:r>
          </w:p>
        </w:tc>
        <w:tc>
          <w:tcPr>
            <w:tcW w:w="1312" w:type="dxa"/>
          </w:tcPr>
          <w:tcPr/>
          <w:p>
            <w:pPr>
              <w:spacing w:after="0" w:line="240" w:lineRule="auto"/>
              <w:pStyle w:val="Compact"/>
              <w:jc w:val="right"/>
            </w:pPr>
            <w:r>
              <w:rPr>
                <w:sz w:val="20"/>
                <w:szCs w:val="20"/>
              </w:rPr>
              <w:t xml:space="preserve">25.02 ± 0.71</w:t>
            </w:r>
          </w:p>
        </w:tc>
        <w:tc>
          <w:tcPr>
            <w:tcW w:w="1312" w:type="dxa"/>
          </w:tcPr>
          <w:tcPr/>
          <w:p>
            <w:pPr>
              <w:spacing w:after="0" w:line="240" w:lineRule="auto"/>
              <w:pStyle w:val="Compact"/>
              <w:jc w:val="right"/>
            </w:pPr>
            <w:r>
              <w:rPr>
                <w:sz w:val="20"/>
                <w:szCs w:val="20"/>
              </w:rPr>
              <w:t xml:space="preserve">24.94 ± 0.81</w:t>
            </w:r>
          </w:p>
        </w:tc>
        <w:tc>
          <w:tcPr>
            <w:tcW w:w="1312" w:type="dxa"/>
          </w:tcPr>
          <w:tcPr/>
          <w:p>
            <w:pPr>
              <w:spacing w:after="0" w:line="240" w:lineRule="auto"/>
              <w:pStyle w:val="Compact"/>
              <w:jc w:val="right"/>
            </w:pPr>
            <w:r>
              <w:rPr>
                <w:sz w:val="20"/>
                <w:szCs w:val="20"/>
              </w:rPr>
              <w:t xml:space="preserve">26.48 ± 1.03</w:t>
            </w:r>
          </w:p>
        </w:tc>
        <w:tc>
          <w:tcPr>
            <w:tcW w:w="1318" w:type="dxa"/>
          </w:tcPr>
          <w:tcPr/>
          <w:p>
            <w:pPr>
              <w:spacing w:after="0" w:line="240" w:lineRule="auto"/>
              <w:pStyle w:val="Compact"/>
              <w:jc w:val="right"/>
            </w:pPr>
            <w:r>
              <w:rPr>
                <w:sz w:val="20"/>
                <w:szCs w:val="20"/>
              </w:rPr>
              <w:t xml:space="preserve">25.18 ± 0.88</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50.46 ± 0.53</w:t>
            </w:r>
          </w:p>
        </w:tc>
        <w:tc>
          <w:tcPr>
            <w:tcW w:w="1312" w:type="dxa"/>
          </w:tcPr>
          <w:tcPr/>
          <w:p>
            <w:pPr>
              <w:spacing w:after="0" w:line="240" w:lineRule="auto"/>
              <w:pStyle w:val="Compact"/>
              <w:jc w:val="right"/>
            </w:pPr>
            <w:r>
              <w:rPr>
                <w:sz w:val="20"/>
                <w:szCs w:val="20"/>
              </w:rPr>
              <w:t xml:space="preserve">50.36 ± 0.45</w:t>
            </w:r>
          </w:p>
        </w:tc>
        <w:tc>
          <w:tcPr>
            <w:tcW w:w="1312" w:type="dxa"/>
          </w:tcPr>
          <w:tcPr/>
          <w:p>
            <w:pPr>
              <w:spacing w:after="0" w:line="240" w:lineRule="auto"/>
              <w:pStyle w:val="Compact"/>
              <w:jc w:val="right"/>
            </w:pPr>
            <w:r>
              <w:rPr>
                <w:sz w:val="20"/>
                <w:szCs w:val="20"/>
              </w:rPr>
              <w:t xml:space="preserve">50.51 ± 0.54</w:t>
            </w:r>
          </w:p>
        </w:tc>
        <w:tc>
          <w:tcPr>
            <w:tcW w:w="1312" w:type="dxa"/>
          </w:tcPr>
          <w:tcPr/>
          <w:p>
            <w:pPr>
              <w:spacing w:after="0" w:line="240" w:lineRule="auto"/>
              <w:pStyle w:val="Compact"/>
              <w:jc w:val="right"/>
            </w:pPr>
            <w:r>
              <w:rPr>
                <w:sz w:val="20"/>
                <w:szCs w:val="20"/>
              </w:rPr>
              <w:t xml:space="preserve">51.06 ± 0.40</w:t>
            </w:r>
          </w:p>
        </w:tc>
        <w:tc>
          <w:tcPr>
            <w:tcW w:w="1318" w:type="dxa"/>
          </w:tcPr>
          <w:tcPr/>
          <w:p>
            <w:pPr>
              <w:spacing w:after="0" w:line="240" w:lineRule="auto"/>
              <w:pStyle w:val="Compact"/>
              <w:jc w:val="right"/>
            </w:pPr>
            <w:r>
              <w:rPr>
                <w:sz w:val="20"/>
                <w:szCs w:val="20"/>
              </w:rPr>
              <w:t xml:space="preserve">50.02 ± 0.69</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0.67</w:t>
            </w:r>
          </w:p>
        </w:tc>
        <w:tc>
          <w:tcPr>
            <w:tcW w:w="1312" w:type="dxa"/>
          </w:tcPr>
          <w:tcPr/>
          <w:p>
            <w:pPr>
              <w:spacing w:after="0" w:line="240" w:lineRule="auto"/>
              <w:pStyle w:val="Compact"/>
              <w:jc w:val="right"/>
            </w:pPr>
            <w:r>
              <w:rPr>
                <w:sz w:val="20"/>
                <w:szCs w:val="20"/>
              </w:rPr>
              <w:t xml:space="preserve">0.58 ± 0.01</w:t>
            </w:r>
          </w:p>
        </w:tc>
        <w:tc>
          <w:tcPr>
            <w:tcW w:w="1312" w:type="dxa"/>
          </w:tcPr>
          <w:tcPr/>
          <w:p>
            <w:pPr>
              <w:spacing w:after="0" w:line="240" w:lineRule="auto"/>
              <w:pStyle w:val="Compact"/>
              <w:jc w:val="right"/>
            </w:pPr>
            <w:r>
              <w:rPr>
                <w:sz w:val="20"/>
                <w:szCs w:val="20"/>
              </w:rPr>
              <w:t xml:space="preserve">0.59 ± 0.02</w:t>
            </w:r>
          </w:p>
        </w:tc>
        <w:tc>
          <w:tcPr>
            <w:tcW w:w="1312" w:type="dxa"/>
          </w:tcPr>
          <w:tcPr/>
          <w:p>
            <w:pPr>
              <w:spacing w:after="0" w:line="240" w:lineRule="auto"/>
              <w:pStyle w:val="Compact"/>
              <w:jc w:val="right"/>
            </w:pPr>
            <w:r>
              <w:rPr>
                <w:sz w:val="20"/>
                <w:szCs w:val="20"/>
              </w:rPr>
              <w:t xml:space="preserve">0.59 ± 0.02</w:t>
            </w:r>
          </w:p>
        </w:tc>
        <w:tc>
          <w:tcPr>
            <w:tcW w:w="1312" w:type="dxa"/>
          </w:tcPr>
          <w:tcPr/>
          <w:p>
            <w:pPr>
              <w:spacing w:after="0" w:line="240" w:lineRule="auto"/>
              <w:pStyle w:val="Compact"/>
              <w:jc w:val="right"/>
            </w:pPr>
            <w:r>
              <w:rPr>
                <w:sz w:val="20"/>
                <w:szCs w:val="20"/>
              </w:rPr>
              <w:t xml:space="preserve">0.62 ± 0.01</w:t>
            </w:r>
          </w:p>
        </w:tc>
        <w:tc>
          <w:tcPr>
            <w:tcW w:w="1318" w:type="dxa"/>
          </w:tcPr>
          <w:tcPr/>
          <w:p>
            <w:pPr>
              <w:spacing w:after="0" w:line="240" w:lineRule="auto"/>
              <w:pStyle w:val="Compact"/>
              <w:jc w:val="right"/>
            </w:pPr>
            <w:r>
              <w:rPr>
                <w:sz w:val="20"/>
                <w:szCs w:val="20"/>
              </w:rPr>
              <w:t xml:space="preserve">0.58 ± 0.02</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1.84 ± 0.05</w:t>
            </w:r>
          </w:p>
        </w:tc>
        <w:tc>
          <w:tcPr>
            <w:tcW w:w="1312" w:type="dxa"/>
          </w:tcPr>
          <w:tcPr/>
          <w:p>
            <w:pPr>
              <w:spacing w:after="0" w:line="240" w:lineRule="auto"/>
              <w:pStyle w:val="Compact"/>
              <w:jc w:val="right"/>
            </w:pPr>
            <w:r>
              <w:rPr>
                <w:sz w:val="20"/>
                <w:szCs w:val="20"/>
              </w:rPr>
              <w:t xml:space="preserve">1.82 ± 0.04</w:t>
            </w:r>
          </w:p>
        </w:tc>
        <w:tc>
          <w:tcPr>
            <w:tcW w:w="1312" w:type="dxa"/>
          </w:tcPr>
          <w:tcPr/>
          <w:p>
            <w:pPr>
              <w:spacing w:after="0" w:line="240" w:lineRule="auto"/>
              <w:pStyle w:val="Compact"/>
              <w:jc w:val="right"/>
            </w:pPr>
            <w:r>
              <w:rPr>
                <w:sz w:val="20"/>
                <w:szCs w:val="20"/>
              </w:rPr>
              <w:t xml:space="preserve">1.80 ± 0.07</w:t>
            </w:r>
          </w:p>
        </w:tc>
        <w:tc>
          <w:tcPr>
            <w:tcW w:w="1312" w:type="dxa"/>
          </w:tcPr>
          <w:tcPr/>
          <w:p>
            <w:pPr>
              <w:spacing w:after="0" w:line="240" w:lineRule="auto"/>
              <w:pStyle w:val="Compact"/>
              <w:jc w:val="right"/>
            </w:pPr>
            <w:r>
              <w:rPr>
                <w:sz w:val="20"/>
                <w:szCs w:val="20"/>
              </w:rPr>
              <w:t xml:space="preserve">1.87 ± 0.04</w:t>
            </w:r>
          </w:p>
        </w:tc>
        <w:tc>
          <w:tcPr>
            <w:tcW w:w="1318" w:type="dxa"/>
          </w:tcPr>
          <w:tcPr/>
          <w:p>
            <w:pPr>
              <w:spacing w:after="0" w:line="240" w:lineRule="auto"/>
              <w:pStyle w:val="Compact"/>
              <w:jc w:val="right"/>
            </w:pPr>
            <w:r>
              <w:rPr>
                <w:sz w:val="20"/>
                <w:szCs w:val="20"/>
              </w:rPr>
              <w:t xml:space="preserve">1.74 ± 0.07</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12.98</w:t>
            </w:r>
          </w:p>
        </w:tc>
        <w:tc>
          <w:tcPr>
            <w:tcW w:w="1312" w:type="dxa"/>
          </w:tcPr>
          <w:tcPr/>
          <w:p>
            <w:pPr>
              <w:spacing w:after="0" w:line="240" w:lineRule="auto"/>
              <w:pStyle w:val="Compact"/>
              <w:jc w:val="right"/>
            </w:pPr>
            <w:r>
              <w:rPr>
                <w:sz w:val="20"/>
                <w:szCs w:val="20"/>
              </w:rPr>
              <w:t xml:space="preserve">14.24 ± 0.36</w:t>
            </w:r>
          </w:p>
        </w:tc>
        <w:tc>
          <w:tcPr>
            <w:tcW w:w="1312" w:type="dxa"/>
          </w:tcPr>
          <w:tcPr/>
          <w:p>
            <w:pPr>
              <w:spacing w:after="0" w:line="240" w:lineRule="auto"/>
              <w:pStyle w:val="Compact"/>
              <w:jc w:val="right"/>
            </w:pPr>
            <w:r>
              <w:rPr>
                <w:sz w:val="20"/>
                <w:szCs w:val="20"/>
              </w:rPr>
              <w:t xml:space="preserve">14.20 ± 0.49</w:t>
            </w:r>
          </w:p>
        </w:tc>
        <w:tc>
          <w:tcPr>
            <w:tcW w:w="1312" w:type="dxa"/>
          </w:tcPr>
          <w:tcPr/>
          <w:p>
            <w:pPr>
              <w:spacing w:after="0" w:line="240" w:lineRule="auto"/>
              <w:pStyle w:val="Compact"/>
              <w:jc w:val="right"/>
            </w:pPr>
            <w:r>
              <w:rPr>
                <w:sz w:val="20"/>
                <w:szCs w:val="20"/>
              </w:rPr>
              <w:t xml:space="preserve">14.34 ± 0.61</w:t>
            </w:r>
          </w:p>
        </w:tc>
        <w:tc>
          <w:tcPr>
            <w:tcW w:w="1312" w:type="dxa"/>
          </w:tcPr>
          <w:tcPr/>
          <w:p>
            <w:pPr>
              <w:spacing w:after="0" w:line="240" w:lineRule="auto"/>
              <w:pStyle w:val="Compact"/>
              <w:jc w:val="right"/>
            </w:pPr>
            <w:r>
              <w:rPr>
                <w:sz w:val="20"/>
                <w:szCs w:val="20"/>
              </w:rPr>
              <w:t xml:space="preserve">13.80 ± 0.44</w:t>
            </w:r>
          </w:p>
        </w:tc>
        <w:tc>
          <w:tcPr>
            <w:tcW w:w="1318" w:type="dxa"/>
          </w:tcPr>
          <w:tcPr/>
          <w:p>
            <w:pPr>
              <w:spacing w:after="0" w:line="240" w:lineRule="auto"/>
              <w:pStyle w:val="Compact"/>
              <w:jc w:val="right"/>
            </w:pPr>
            <w:r>
              <w:rPr>
                <w:sz w:val="20"/>
                <w:szCs w:val="20"/>
              </w:rPr>
              <w:t xml:space="preserve">14.32 ± 0.59</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25.35</w:t>
            </w:r>
          </w:p>
        </w:tc>
        <w:tc>
          <w:tcPr>
            <w:tcW w:w="1312" w:type="dxa"/>
          </w:tcPr>
          <w:tcPr/>
          <w:p>
            <w:pPr>
              <w:spacing w:after="0" w:line="240" w:lineRule="auto"/>
              <w:pStyle w:val="Compact"/>
              <w:jc w:val="right"/>
            </w:pPr>
            <w:r>
              <w:rPr>
                <w:sz w:val="20"/>
                <w:szCs w:val="20"/>
              </w:rPr>
              <w:t xml:space="preserve">23.41 ± 0.52</w:t>
            </w:r>
          </w:p>
        </w:tc>
        <w:tc>
          <w:tcPr>
            <w:tcW w:w="1312" w:type="dxa"/>
          </w:tcPr>
          <w:tcPr/>
          <w:p>
            <w:pPr>
              <w:spacing w:after="0" w:line="240" w:lineRule="auto"/>
              <w:pStyle w:val="Compact"/>
              <w:jc w:val="right"/>
            </w:pPr>
            <w:r>
              <w:rPr>
                <w:sz w:val="20"/>
                <w:szCs w:val="20"/>
              </w:rPr>
              <w:t xml:space="preserve">23.68 ± 0.72</w:t>
            </w:r>
          </w:p>
        </w:tc>
        <w:tc>
          <w:tcPr>
            <w:tcW w:w="1312" w:type="dxa"/>
          </w:tcPr>
          <w:tcPr/>
          <w:p>
            <w:pPr>
              <w:spacing w:after="0" w:line="240" w:lineRule="auto"/>
              <w:pStyle w:val="Compact"/>
              <w:jc w:val="right"/>
            </w:pPr>
            <w:r>
              <w:rPr>
                <w:sz w:val="20"/>
                <w:szCs w:val="20"/>
              </w:rPr>
              <w:t xml:space="preserve">23.54 ± 0.93</w:t>
            </w:r>
          </w:p>
        </w:tc>
        <w:tc>
          <w:tcPr>
            <w:tcW w:w="1312" w:type="dxa"/>
          </w:tcPr>
          <w:tcPr/>
          <w:p>
            <w:pPr>
              <w:spacing w:after="0" w:line="240" w:lineRule="auto"/>
              <w:pStyle w:val="Compact"/>
              <w:jc w:val="right"/>
            </w:pPr>
            <w:r>
              <w:rPr>
                <w:sz w:val="20"/>
                <w:szCs w:val="20"/>
              </w:rPr>
              <w:t xml:space="preserve">24.35 ± 0.67</w:t>
            </w:r>
          </w:p>
        </w:tc>
        <w:tc>
          <w:tcPr>
            <w:tcW w:w="1318" w:type="dxa"/>
          </w:tcPr>
          <w:tcPr/>
          <w:p>
            <w:pPr>
              <w:spacing w:after="0" w:line="240" w:lineRule="auto"/>
              <w:pStyle w:val="Compact"/>
              <w:jc w:val="right"/>
            </w:pPr>
            <w:r>
              <w:rPr>
                <w:sz w:val="20"/>
                <w:szCs w:val="20"/>
              </w:rPr>
              <w:t xml:space="preserve">23.73 ± 0.93</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50.65 ± 0.41</w:t>
            </w:r>
          </w:p>
        </w:tc>
        <w:tc>
          <w:tcPr>
            <w:tcW w:w="1312" w:type="dxa"/>
          </w:tcPr>
          <w:tcPr/>
          <w:p>
            <w:pPr>
              <w:spacing w:after="0" w:line="240" w:lineRule="auto"/>
              <w:pStyle w:val="Compact"/>
              <w:jc w:val="right"/>
            </w:pPr>
            <w:r>
              <w:rPr>
                <w:sz w:val="20"/>
                <w:szCs w:val="20"/>
              </w:rPr>
              <w:t xml:space="preserve">50.54 ± 0.51</w:t>
            </w:r>
          </w:p>
        </w:tc>
        <w:tc>
          <w:tcPr>
            <w:tcW w:w="1312" w:type="dxa"/>
          </w:tcPr>
          <w:tcPr/>
          <w:p>
            <w:pPr>
              <w:spacing w:after="0" w:line="240" w:lineRule="auto"/>
              <w:pStyle w:val="Compact"/>
              <w:jc w:val="right"/>
            </w:pPr>
            <w:r>
              <w:rPr>
                <w:sz w:val="20"/>
                <w:szCs w:val="20"/>
              </w:rPr>
              <w:t xml:space="preserve">50.34 ± 0.68</w:t>
            </w:r>
          </w:p>
        </w:tc>
        <w:tc>
          <w:tcPr>
            <w:tcW w:w="1312" w:type="dxa"/>
          </w:tcPr>
          <w:tcPr/>
          <w:p>
            <w:pPr>
              <w:spacing w:after="0" w:line="240" w:lineRule="auto"/>
              <w:pStyle w:val="Compact"/>
              <w:jc w:val="right"/>
            </w:pPr>
            <w:r>
              <w:rPr>
                <w:sz w:val="20"/>
                <w:szCs w:val="20"/>
              </w:rPr>
              <w:t xml:space="preserve">51.20 ± 0.42</w:t>
            </w:r>
          </w:p>
        </w:tc>
        <w:tc>
          <w:tcPr>
            <w:tcW w:w="1318" w:type="dxa"/>
          </w:tcPr>
          <w:tcPr/>
          <w:p>
            <w:pPr>
              <w:spacing w:after="0" w:line="240" w:lineRule="auto"/>
              <w:pStyle w:val="Compact"/>
              <w:jc w:val="right"/>
            </w:pPr>
            <w:r>
              <w:rPr>
                <w:sz w:val="20"/>
                <w:szCs w:val="20"/>
              </w:rPr>
              <w:t xml:space="preserve">50.18 ± 0.51</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0.33</w:t>
            </w:r>
          </w:p>
        </w:tc>
        <w:tc>
          <w:tcPr>
            <w:tcW w:w="1312" w:type="dxa"/>
          </w:tcPr>
          <w:tcPr/>
          <w:p>
            <w:pPr>
              <w:spacing w:after="0" w:line="240" w:lineRule="auto"/>
              <w:pStyle w:val="Compact"/>
              <w:jc w:val="right"/>
            </w:pPr>
            <w:r>
              <w:rPr>
                <w:sz w:val="20"/>
                <w:szCs w:val="20"/>
              </w:rPr>
              <w:t xml:space="preserve">0.30 ± 0.01</w:t>
            </w:r>
          </w:p>
        </w:tc>
        <w:tc>
          <w:tcPr>
            <w:tcW w:w="1312" w:type="dxa"/>
          </w:tcPr>
          <w:tcPr/>
          <w:p>
            <w:pPr>
              <w:spacing w:after="0" w:line="240" w:lineRule="auto"/>
              <w:pStyle w:val="Compact"/>
              <w:jc w:val="right"/>
            </w:pPr>
            <w:r>
              <w:rPr>
                <w:sz w:val="20"/>
                <w:szCs w:val="20"/>
              </w:rPr>
              <w:t xml:space="preserve">0.30 ± 0.01</w:t>
            </w:r>
          </w:p>
        </w:tc>
        <w:tc>
          <w:tcPr>
            <w:tcW w:w="1312" w:type="dxa"/>
          </w:tcPr>
          <w:tcPr/>
          <w:p>
            <w:pPr>
              <w:spacing w:after="0" w:line="240" w:lineRule="auto"/>
              <w:pStyle w:val="Compact"/>
              <w:jc w:val="right"/>
            </w:pPr>
            <w:r>
              <w:rPr>
                <w:sz w:val="20"/>
                <w:szCs w:val="20"/>
              </w:rPr>
              <w:t xml:space="preserve">0.29 ± 0.01</w:t>
            </w:r>
          </w:p>
        </w:tc>
        <w:tc>
          <w:tcPr>
            <w:tcW w:w="1312" w:type="dxa"/>
          </w:tcPr>
          <w:tcPr/>
          <w:p>
            <w:pPr>
              <w:spacing w:after="0" w:line="240" w:lineRule="auto"/>
              <w:pStyle w:val="Compact"/>
              <w:jc w:val="right"/>
            </w:pPr>
            <w:r>
              <w:rPr>
                <w:sz w:val="20"/>
                <w:szCs w:val="20"/>
              </w:rPr>
              <w:t xml:space="preserve">0.31 ± 0.01</w:t>
            </w:r>
          </w:p>
        </w:tc>
        <w:tc>
          <w:tcPr>
            <w:tcW w:w="1318" w:type="dxa"/>
          </w:tcPr>
          <w:tcPr/>
          <w:p>
            <w:pPr>
              <w:spacing w:after="0" w:line="240" w:lineRule="auto"/>
              <w:pStyle w:val="Compact"/>
              <w:jc w:val="right"/>
            </w:pPr>
            <w:r>
              <w:rPr>
                <w:sz w:val="20"/>
                <w:szCs w:val="20"/>
              </w:rPr>
              <w:t xml:space="preserve">0.29 ± 0.01</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1.88 ± 0.03</w:t>
            </w:r>
          </w:p>
        </w:tc>
        <w:tc>
          <w:tcPr>
            <w:tcW w:w="1312" w:type="dxa"/>
          </w:tcPr>
          <w:tcPr/>
          <w:p>
            <w:pPr>
              <w:spacing w:after="0" w:line="240" w:lineRule="auto"/>
              <w:pStyle w:val="Compact"/>
              <w:jc w:val="right"/>
            </w:pPr>
            <w:r>
              <w:rPr>
                <w:sz w:val="20"/>
                <w:szCs w:val="20"/>
              </w:rPr>
              <w:t xml:space="preserve">1.82 ± 0.05</w:t>
            </w:r>
          </w:p>
        </w:tc>
        <w:tc>
          <w:tcPr>
            <w:tcW w:w="1312" w:type="dxa"/>
          </w:tcPr>
          <w:tcPr/>
          <w:p>
            <w:pPr>
              <w:spacing w:after="0" w:line="240" w:lineRule="auto"/>
              <w:pStyle w:val="Compact"/>
              <w:jc w:val="right"/>
            </w:pPr>
            <w:r>
              <w:rPr>
                <w:sz w:val="20"/>
                <w:szCs w:val="20"/>
              </w:rPr>
              <w:t xml:space="preserve">1.80 ± 0.06</w:t>
            </w:r>
          </w:p>
        </w:tc>
        <w:tc>
          <w:tcPr>
            <w:tcW w:w="1312" w:type="dxa"/>
          </w:tcPr>
          <w:tcPr/>
          <w:p>
            <w:pPr>
              <w:spacing w:after="0" w:line="240" w:lineRule="auto"/>
              <w:pStyle w:val="Compact"/>
              <w:jc w:val="right"/>
            </w:pPr>
            <w:r>
              <w:rPr>
                <w:sz w:val="20"/>
                <w:szCs w:val="20"/>
              </w:rPr>
              <w:t xml:space="preserve">1.87 ± 0.04</w:t>
            </w:r>
          </w:p>
        </w:tc>
        <w:tc>
          <w:tcPr>
            <w:tcW w:w="1318" w:type="dxa"/>
          </w:tcPr>
          <w:tcPr/>
          <w:p>
            <w:pPr>
              <w:spacing w:after="0" w:line="240" w:lineRule="auto"/>
              <w:pStyle w:val="Compact"/>
              <w:jc w:val="right"/>
            </w:pPr>
            <w:r>
              <w:rPr>
                <w:sz w:val="20"/>
                <w:szCs w:val="20"/>
              </w:rPr>
              <w:t xml:space="preserve">1.76 ± 0.05</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5.81</w:t>
            </w:r>
          </w:p>
        </w:tc>
        <w:tc>
          <w:tcPr>
            <w:tcW w:w="1312" w:type="dxa"/>
          </w:tcPr>
          <w:tcPr/>
          <w:p>
            <w:pPr>
              <w:spacing w:after="0" w:line="240" w:lineRule="auto"/>
              <w:pStyle w:val="Compact"/>
              <w:jc w:val="right"/>
            </w:pPr>
            <w:r>
              <w:rPr>
                <w:sz w:val="20"/>
                <w:szCs w:val="20"/>
              </w:rPr>
              <w:t xml:space="preserve">6.62 ± 0.12</w:t>
            </w:r>
          </w:p>
        </w:tc>
        <w:tc>
          <w:tcPr>
            <w:tcW w:w="1312" w:type="dxa"/>
          </w:tcPr>
          <w:tcPr/>
          <w:p>
            <w:pPr>
              <w:spacing w:after="0" w:line="240" w:lineRule="auto"/>
              <w:pStyle w:val="Compact"/>
              <w:jc w:val="right"/>
            </w:pPr>
            <w:r>
              <w:rPr>
                <w:sz w:val="20"/>
                <w:szCs w:val="20"/>
              </w:rPr>
              <w:t xml:space="preserve">6.68 ± 0.12</w:t>
            </w:r>
          </w:p>
        </w:tc>
        <w:tc>
          <w:tcPr>
            <w:tcW w:w="1312" w:type="dxa"/>
          </w:tcPr>
          <w:tcPr/>
          <w:p>
            <w:pPr>
              <w:spacing w:after="0" w:line="240" w:lineRule="auto"/>
              <w:pStyle w:val="Compact"/>
              <w:jc w:val="right"/>
            </w:pPr>
            <w:r>
              <w:rPr>
                <w:sz w:val="20"/>
                <w:szCs w:val="20"/>
              </w:rPr>
              <w:t xml:space="preserve">6.69 ± 0.15</w:t>
            </w:r>
          </w:p>
        </w:tc>
        <w:tc>
          <w:tcPr>
            <w:tcW w:w="1312" w:type="dxa"/>
          </w:tcPr>
          <w:tcPr/>
          <w:p>
            <w:pPr>
              <w:spacing w:after="0" w:line="240" w:lineRule="auto"/>
              <w:pStyle w:val="Compact"/>
              <w:jc w:val="right"/>
            </w:pPr>
            <w:r>
              <w:rPr>
                <w:sz w:val="20"/>
                <w:szCs w:val="20"/>
              </w:rPr>
              <w:t xml:space="preserve">6.17 ± 0.11</w:t>
            </w:r>
          </w:p>
        </w:tc>
        <w:tc>
          <w:tcPr>
            <w:tcW w:w="1318" w:type="dxa"/>
          </w:tcPr>
          <w:tcPr/>
          <w:p>
            <w:pPr>
              <w:spacing w:after="0" w:line="240" w:lineRule="auto"/>
              <w:pStyle w:val="Compact"/>
              <w:jc w:val="right"/>
            </w:pPr>
            <w:r>
              <w:rPr>
                <w:sz w:val="20"/>
                <w:szCs w:val="20"/>
              </w:rPr>
              <w:t xml:space="preserve">6.76 ± 0.17</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28.88</w:t>
            </w:r>
          </w:p>
        </w:tc>
        <w:tc>
          <w:tcPr>
            <w:tcW w:w="1312" w:type="dxa"/>
          </w:tcPr>
          <w:tcPr/>
          <w:p>
            <w:pPr>
              <w:spacing w:after="0" w:line="240" w:lineRule="auto"/>
              <w:pStyle w:val="Compact"/>
              <w:jc w:val="right"/>
            </w:pPr>
            <w:r>
              <w:rPr>
                <w:sz w:val="20"/>
                <w:szCs w:val="20"/>
              </w:rPr>
              <w:t xml:space="preserve">26.97 ± 0.28</w:t>
            </w:r>
          </w:p>
        </w:tc>
        <w:tc>
          <w:tcPr>
            <w:tcW w:w="1312" w:type="dxa"/>
          </w:tcPr>
          <w:tcPr/>
          <w:p>
            <w:pPr>
              <w:spacing w:after="0" w:line="240" w:lineRule="auto"/>
              <w:pStyle w:val="Compact"/>
              <w:jc w:val="right"/>
            </w:pPr>
            <w:r>
              <w:rPr>
                <w:sz w:val="20"/>
                <w:szCs w:val="20"/>
              </w:rPr>
              <w:t xml:space="preserve">26.98 ± 0.29</w:t>
            </w:r>
          </w:p>
        </w:tc>
        <w:tc>
          <w:tcPr>
            <w:tcW w:w="1312" w:type="dxa"/>
          </w:tcPr>
          <w:tcPr/>
          <w:p>
            <w:pPr>
              <w:spacing w:after="0" w:line="240" w:lineRule="auto"/>
              <w:pStyle w:val="Compact"/>
              <w:jc w:val="right"/>
            </w:pPr>
            <w:r>
              <w:rPr>
                <w:sz w:val="20"/>
                <w:szCs w:val="20"/>
              </w:rPr>
              <w:t xml:space="preserve">27.13 ± 0.37</w:t>
            </w:r>
          </w:p>
        </w:tc>
        <w:tc>
          <w:tcPr>
            <w:tcW w:w="1312" w:type="dxa"/>
          </w:tcPr>
          <w:tcPr/>
          <w:p>
            <w:pPr>
              <w:spacing w:after="0" w:line="240" w:lineRule="auto"/>
              <w:pStyle w:val="Compact"/>
              <w:jc w:val="right"/>
            </w:pPr>
            <w:r>
              <w:rPr>
                <w:sz w:val="20"/>
                <w:szCs w:val="20"/>
              </w:rPr>
              <w:t xml:space="preserve">28.60 ± 0.28</w:t>
            </w:r>
          </w:p>
        </w:tc>
        <w:tc>
          <w:tcPr>
            <w:tcW w:w="1318" w:type="dxa"/>
          </w:tcPr>
          <w:tcPr/>
          <w:p>
            <w:pPr>
              <w:spacing w:after="0" w:line="240" w:lineRule="auto"/>
              <w:pStyle w:val="Compact"/>
              <w:jc w:val="right"/>
            </w:pPr>
            <w:r>
              <w:rPr>
                <w:sz w:val="20"/>
                <w:szCs w:val="20"/>
              </w:rPr>
              <w:t xml:space="preserve">27.14 ± 0.41</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50.52 ± 0.15</w:t>
            </w:r>
          </w:p>
        </w:tc>
        <w:tc>
          <w:tcPr>
            <w:tcW w:w="1312" w:type="dxa"/>
          </w:tcPr>
          <w:tcPr/>
          <w:p>
            <w:pPr>
              <w:spacing w:after="0" w:line="240" w:lineRule="auto"/>
              <w:pStyle w:val="Compact"/>
              <w:jc w:val="right"/>
            </w:pPr>
            <w:r>
              <w:rPr>
                <w:sz w:val="20"/>
                <w:szCs w:val="20"/>
              </w:rPr>
              <w:t xml:space="preserve">50.19 ± 0.22</w:t>
            </w:r>
          </w:p>
        </w:tc>
        <w:tc>
          <w:tcPr>
            <w:tcW w:w="1312" w:type="dxa"/>
          </w:tcPr>
          <w:tcPr/>
          <w:p>
            <w:pPr>
              <w:spacing w:after="0" w:line="240" w:lineRule="auto"/>
              <w:pStyle w:val="Compact"/>
              <w:jc w:val="right"/>
            </w:pPr>
            <w:r>
              <w:rPr>
                <w:sz w:val="20"/>
                <w:szCs w:val="20"/>
              </w:rPr>
              <w:t xml:space="preserve">50.19 ± 0.22</w:t>
            </w:r>
          </w:p>
        </w:tc>
        <w:tc>
          <w:tcPr>
            <w:tcW w:w="1312" w:type="dxa"/>
          </w:tcPr>
          <w:tcPr/>
          <w:p>
            <w:pPr>
              <w:spacing w:after="0" w:line="240" w:lineRule="auto"/>
              <w:pStyle w:val="Compact"/>
              <w:jc w:val="right"/>
            </w:pPr>
            <w:r>
              <w:rPr>
                <w:sz w:val="20"/>
                <w:szCs w:val="20"/>
              </w:rPr>
              <w:t xml:space="preserve">51.12 ± 0.16</w:t>
            </w:r>
          </w:p>
        </w:tc>
        <w:tc>
          <w:tcPr>
            <w:tcW w:w="1318" w:type="dxa"/>
          </w:tcPr>
          <w:tcPr/>
          <w:p>
            <w:pPr>
              <w:spacing w:after="0" w:line="240" w:lineRule="auto"/>
              <w:pStyle w:val="Compact"/>
              <w:jc w:val="right"/>
            </w:pPr>
            <w:r>
              <w:rPr>
                <w:sz w:val="20"/>
                <w:szCs w:val="20"/>
              </w:rPr>
              <w:t xml:space="preserve">49.73 ± 0.25</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0.35</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0.32 ± 0.00</w:t>
            </w:r>
          </w:p>
        </w:tc>
        <w:tc>
          <w:tcPr>
            <w:tcW w:w="1318" w:type="dxa"/>
          </w:tcPr>
          <w:tcPr/>
          <w:p>
            <w:pPr>
              <w:spacing w:after="0" w:line="240" w:lineRule="auto"/>
              <w:pStyle w:val="Compact"/>
              <w:jc w:val="right"/>
            </w:pPr>
            <w:r>
              <w:rPr>
                <w:sz w:val="20"/>
                <w:szCs w:val="20"/>
              </w:rPr>
              <w:t xml:space="preserve">0.30 ± 0.00</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1.84 ± 0.01</w:t>
            </w:r>
          </w:p>
        </w:tc>
        <w:tc>
          <w:tcPr>
            <w:tcW w:w="1312" w:type="dxa"/>
          </w:tcPr>
          <w:tcPr/>
          <w:p>
            <w:pPr>
              <w:spacing w:after="0" w:line="240" w:lineRule="auto"/>
              <w:pStyle w:val="Compact"/>
              <w:jc w:val="right"/>
            </w:pPr>
            <w:r>
              <w:rPr>
                <w:sz w:val="20"/>
                <w:szCs w:val="20"/>
              </w:rPr>
              <w:t xml:space="preserve">1.79 ± 0.02</w:t>
            </w:r>
          </w:p>
        </w:tc>
        <w:tc>
          <w:tcPr>
            <w:tcW w:w="1312" w:type="dxa"/>
          </w:tcPr>
          <w:tcPr/>
          <w:p>
            <w:pPr>
              <w:spacing w:after="0" w:line="240" w:lineRule="auto"/>
              <w:pStyle w:val="Compact"/>
              <w:jc w:val="right"/>
            </w:pPr>
            <w:r>
              <w:rPr>
                <w:sz w:val="20"/>
                <w:szCs w:val="20"/>
              </w:rPr>
              <w:t xml:space="preserve">1.79 ± 0.02</w:t>
            </w:r>
          </w:p>
        </w:tc>
        <w:tc>
          <w:tcPr>
            <w:tcW w:w="1312" w:type="dxa"/>
          </w:tcPr>
          <w:tcPr/>
          <w:p>
            <w:pPr>
              <w:spacing w:after="0" w:line="240" w:lineRule="auto"/>
              <w:pStyle w:val="Compact"/>
              <w:jc w:val="right"/>
            </w:pPr>
            <w:r>
              <w:rPr>
                <w:sz w:val="20"/>
                <w:szCs w:val="20"/>
              </w:rPr>
              <w:t xml:space="preserve">1.87 ± 0.01</w:t>
            </w:r>
          </w:p>
        </w:tc>
        <w:tc>
          <w:tcPr>
            <w:tcW w:w="1318" w:type="dxa"/>
          </w:tcPr>
          <w:tcPr/>
          <w:p>
            <w:pPr>
              <w:spacing w:after="0" w:line="240" w:lineRule="auto"/>
              <w:pStyle w:val="Compact"/>
              <w:jc w:val="right"/>
            </w:pPr>
            <w:r>
              <w:rPr>
                <w:sz w:val="20"/>
                <w:szCs w:val="20"/>
              </w:rPr>
              <w:t xml:space="preserve">1.72 ± 0.02</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78.22</w:t>
            </w:r>
          </w:p>
        </w:tc>
        <w:tc>
          <w:tcPr>
            <w:tcW w:w="1312" w:type="dxa"/>
          </w:tcPr>
          <w:tcPr/>
          <w:p>
            <w:pPr>
              <w:spacing w:after="0" w:line="240" w:lineRule="auto"/>
              <w:pStyle w:val="Compact"/>
              <w:jc w:val="right"/>
            </w:pPr>
            <w:r>
              <w:rPr>
                <w:sz w:val="20"/>
                <w:szCs w:val="20"/>
              </w:rPr>
              <w:t xml:space="preserve">79.25 ± 0.09</w:t>
            </w:r>
          </w:p>
        </w:tc>
        <w:tc>
          <w:tcPr>
            <w:tcW w:w="1312" w:type="dxa"/>
          </w:tcPr>
          <w:tcPr/>
          <w:p>
            <w:pPr>
              <w:spacing w:after="0" w:line="240" w:lineRule="auto"/>
              <w:pStyle w:val="Compact"/>
              <w:jc w:val="right"/>
            </w:pPr>
            <w:r>
              <w:rPr>
                <w:sz w:val="20"/>
                <w:szCs w:val="20"/>
              </w:rPr>
              <w:t xml:space="preserve">79.38 ± 0.11</w:t>
            </w:r>
          </w:p>
        </w:tc>
        <w:tc>
          <w:tcPr>
            <w:tcW w:w="1312" w:type="dxa"/>
          </w:tcPr>
          <w:tcPr/>
          <w:p>
            <w:pPr>
              <w:spacing w:after="0" w:line="240" w:lineRule="auto"/>
              <w:pStyle w:val="Compact"/>
              <w:jc w:val="right"/>
            </w:pPr>
            <w:r>
              <w:rPr>
                <w:sz w:val="20"/>
                <w:szCs w:val="20"/>
              </w:rPr>
              <w:t xml:space="preserve">79.31 ± 0.11</w:t>
            </w:r>
          </w:p>
        </w:tc>
        <w:tc>
          <w:tcPr>
            <w:tcW w:w="1312" w:type="dxa"/>
          </w:tcPr>
          <w:tcPr/>
          <w:p>
            <w:pPr>
              <w:spacing w:after="0" w:line="240" w:lineRule="auto"/>
              <w:pStyle w:val="Compact"/>
              <w:jc w:val="right"/>
            </w:pPr>
            <w:r>
              <w:rPr>
                <w:sz w:val="20"/>
                <w:szCs w:val="20"/>
              </w:rPr>
              <w:t xml:space="preserve">78.87 ± 0.12</w:t>
            </w:r>
          </w:p>
        </w:tc>
        <w:tc>
          <w:tcPr>
            <w:tcW w:w="1318" w:type="dxa"/>
          </w:tcPr>
          <w:tcPr/>
          <w:p>
            <w:pPr>
              <w:spacing w:after="0" w:line="240" w:lineRule="auto"/>
              <w:pStyle w:val="Compact"/>
              <w:jc w:val="right"/>
            </w:pPr>
            <w:r>
              <w:rPr>
                <w:sz w:val="20"/>
                <w:szCs w:val="20"/>
              </w:rPr>
              <w:t xml:space="preserve">79.31 ± 0.12</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3.77</w:t>
            </w:r>
          </w:p>
        </w:tc>
        <w:tc>
          <w:tcPr>
            <w:tcW w:w="1312" w:type="dxa"/>
          </w:tcPr>
          <w:tcPr/>
          <w:p>
            <w:pPr>
              <w:spacing w:after="0" w:line="240" w:lineRule="auto"/>
              <w:pStyle w:val="Compact"/>
              <w:jc w:val="right"/>
            </w:pPr>
            <w:r>
              <w:rPr>
                <w:sz w:val="20"/>
                <w:szCs w:val="20"/>
              </w:rPr>
              <w:t xml:space="preserve">3.55 ± 0.02</w:t>
            </w:r>
          </w:p>
        </w:tc>
        <w:tc>
          <w:tcPr>
            <w:tcW w:w="1312" w:type="dxa"/>
          </w:tcPr>
          <w:tcPr/>
          <w:p>
            <w:pPr>
              <w:spacing w:after="0" w:line="240" w:lineRule="auto"/>
              <w:pStyle w:val="Compact"/>
              <w:jc w:val="right"/>
            </w:pPr>
            <w:r>
              <w:rPr>
                <w:sz w:val="20"/>
                <w:szCs w:val="20"/>
              </w:rPr>
              <w:t xml:space="preserve">3.53 ± 0.03</w:t>
            </w:r>
          </w:p>
        </w:tc>
        <w:tc>
          <w:tcPr>
            <w:tcW w:w="1312" w:type="dxa"/>
          </w:tcPr>
          <w:tcPr/>
          <w:p>
            <w:pPr>
              <w:spacing w:after="0" w:line="240" w:lineRule="auto"/>
              <w:pStyle w:val="Compact"/>
              <w:jc w:val="right"/>
            </w:pPr>
            <w:r>
              <w:rPr>
                <w:sz w:val="20"/>
                <w:szCs w:val="20"/>
              </w:rPr>
              <w:t xml:space="preserve">3.55 ± 0.03</w:t>
            </w:r>
          </w:p>
        </w:tc>
        <w:tc>
          <w:tcPr>
            <w:tcW w:w="1312" w:type="dxa"/>
          </w:tcPr>
          <w:tcPr/>
          <w:p>
            <w:pPr>
              <w:spacing w:after="0" w:line="240" w:lineRule="auto"/>
              <w:pStyle w:val="Compact"/>
              <w:jc w:val="right"/>
            </w:pPr>
            <w:r>
              <w:rPr>
                <w:sz w:val="20"/>
                <w:szCs w:val="20"/>
              </w:rPr>
              <w:t xml:space="preserve">3.66 ± 0.03</w:t>
            </w:r>
          </w:p>
        </w:tc>
        <w:tc>
          <w:tcPr>
            <w:tcW w:w="1318" w:type="dxa"/>
          </w:tcPr>
          <w:tcPr/>
          <w:p>
            <w:pPr>
              <w:spacing w:after="0" w:line="240" w:lineRule="auto"/>
              <w:pStyle w:val="Compact"/>
              <w:jc w:val="right"/>
            </w:pPr>
            <w:r>
              <w:rPr>
                <w:sz w:val="20"/>
                <w:szCs w:val="20"/>
              </w:rPr>
              <w:t xml:space="preserve">3.55 ± 0.03</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13.05</w:t>
            </w:r>
          </w:p>
        </w:tc>
        <w:tc>
          <w:tcPr>
            <w:tcW w:w="1312" w:type="dxa"/>
          </w:tcPr>
          <w:tcPr/>
          <w:p>
            <w:pPr>
              <w:spacing w:after="0" w:line="240" w:lineRule="auto"/>
              <w:pStyle w:val="Compact"/>
              <w:jc w:val="right"/>
            </w:pPr>
            <w:r>
              <w:rPr>
                <w:sz w:val="20"/>
                <w:szCs w:val="20"/>
              </w:rPr>
              <w:t xml:space="preserve">12.52 ± 0.07</w:t>
            </w:r>
          </w:p>
        </w:tc>
        <w:tc>
          <w:tcPr>
            <w:tcW w:w="1312" w:type="dxa"/>
          </w:tcPr>
          <w:tcPr/>
          <w:p>
            <w:pPr>
              <w:spacing w:after="0" w:line="240" w:lineRule="auto"/>
              <w:pStyle w:val="Compact"/>
              <w:jc w:val="right"/>
            </w:pPr>
            <w:r>
              <w:rPr>
                <w:sz w:val="20"/>
                <w:szCs w:val="20"/>
              </w:rPr>
              <w:t xml:space="preserve">12.37 ± 0.08</w:t>
            </w:r>
          </w:p>
        </w:tc>
        <w:tc>
          <w:tcPr>
            <w:tcW w:w="1312" w:type="dxa"/>
          </w:tcPr>
          <w:tcPr/>
          <w:p>
            <w:pPr>
              <w:spacing w:after="0" w:line="240" w:lineRule="auto"/>
              <w:pStyle w:val="Compact"/>
              <w:jc w:val="right"/>
            </w:pPr>
            <w:r>
              <w:rPr>
                <w:sz w:val="20"/>
                <w:szCs w:val="20"/>
              </w:rPr>
              <w:t xml:space="preserve">12.46 ± 0.09</w:t>
            </w:r>
          </w:p>
        </w:tc>
        <w:tc>
          <w:tcPr>
            <w:tcW w:w="1312" w:type="dxa"/>
          </w:tcPr>
          <w:tcPr/>
          <w:p>
            <w:pPr>
              <w:spacing w:after="0" w:line="240" w:lineRule="auto"/>
              <w:pStyle w:val="Compact"/>
              <w:jc w:val="right"/>
            </w:pPr>
            <w:r>
              <w:rPr>
                <w:sz w:val="20"/>
                <w:szCs w:val="20"/>
              </w:rPr>
              <w:t xml:space="preserve">12.74 ± 0.08</w:t>
            </w:r>
          </w:p>
        </w:tc>
        <w:tc>
          <w:tcPr>
            <w:tcW w:w="1318" w:type="dxa"/>
          </w:tcPr>
          <w:tcPr/>
          <w:p>
            <w:pPr>
              <w:spacing w:after="0" w:line="240" w:lineRule="auto"/>
              <w:pStyle w:val="Compact"/>
              <w:jc w:val="right"/>
            </w:pPr>
            <w:r>
              <w:rPr>
                <w:sz w:val="20"/>
                <w:szCs w:val="20"/>
              </w:rPr>
              <w:t xml:space="preserve">12.37 ± 0.08</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0.20</w:t>
            </w:r>
          </w:p>
        </w:tc>
        <w:tc>
          <w:tcPr>
            <w:tcW w:w="1312" w:type="dxa"/>
          </w:tcPr>
          <w:tcPr/>
          <w:p>
            <w:pPr>
              <w:spacing w:after="0" w:line="240" w:lineRule="auto"/>
              <w:pStyle w:val="Compact"/>
              <w:jc w:val="right"/>
            </w:pPr>
            <w:r>
              <w:rPr>
                <w:sz w:val="20"/>
                <w:szCs w:val="20"/>
              </w:rPr>
              <w:t xml:space="preserve">0.20 ± 0.00</w:t>
            </w:r>
          </w:p>
        </w:tc>
        <w:tc>
          <w:tcPr>
            <w:tcW w:w="1312" w:type="dxa"/>
          </w:tcPr>
          <w:tcPr/>
          <w:p>
            <w:pPr>
              <w:spacing w:after="0" w:line="240" w:lineRule="auto"/>
              <w:pStyle w:val="Compact"/>
              <w:jc w:val="right"/>
            </w:pPr>
            <w:r>
              <w:rPr>
                <w:sz w:val="20"/>
                <w:szCs w:val="20"/>
              </w:rPr>
              <w:t xml:space="preserve">0.19 ± 0.00</w:t>
            </w:r>
          </w:p>
        </w:tc>
        <w:tc>
          <w:tcPr>
            <w:tcW w:w="1312" w:type="dxa"/>
          </w:tcPr>
          <w:tcPr/>
          <w:p>
            <w:pPr>
              <w:spacing w:after="0" w:line="240" w:lineRule="auto"/>
              <w:pStyle w:val="Compact"/>
              <w:jc w:val="right"/>
            </w:pPr>
            <w:r>
              <w:rPr>
                <w:sz w:val="20"/>
                <w:szCs w:val="20"/>
              </w:rPr>
              <w:t xml:space="preserve">0.20 ± 0.00</w:t>
            </w:r>
          </w:p>
        </w:tc>
        <w:tc>
          <w:tcPr>
            <w:tcW w:w="1312" w:type="dxa"/>
          </w:tcPr>
          <w:tcPr/>
          <w:p>
            <w:pPr>
              <w:spacing w:after="0" w:line="240" w:lineRule="auto"/>
              <w:pStyle w:val="Compact"/>
              <w:jc w:val="right"/>
            </w:pPr>
            <w:r>
              <w:rPr>
                <w:sz w:val="20"/>
                <w:szCs w:val="20"/>
              </w:rPr>
              <w:t xml:space="preserve">0.20 ± 0.00</w:t>
            </w:r>
          </w:p>
        </w:tc>
        <w:tc>
          <w:tcPr>
            <w:tcW w:w="1318" w:type="dxa"/>
          </w:tcPr>
          <w:tcPr/>
          <w:p>
            <w:pPr>
              <w:spacing w:after="0" w:line="240" w:lineRule="auto"/>
              <w:pStyle w:val="Compact"/>
              <w:jc w:val="right"/>
            </w:pPr>
            <w:r>
              <w:rPr>
                <w:sz w:val="20"/>
                <w:szCs w:val="20"/>
              </w:rPr>
              <w:t xml:space="preserve">0.19 ± 0.00</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0.51</w:t>
            </w:r>
          </w:p>
        </w:tc>
        <w:tc>
          <w:tcPr>
            <w:tcW w:w="1312" w:type="dxa"/>
          </w:tcPr>
          <w:tcPr/>
          <w:p>
            <w:pPr>
              <w:spacing w:after="0" w:line="240" w:lineRule="auto"/>
              <w:pStyle w:val="Compact"/>
              <w:jc w:val="right"/>
            </w:pPr>
            <w:r>
              <w:rPr>
                <w:sz w:val="20"/>
                <w:szCs w:val="20"/>
              </w:rPr>
              <w:t xml:space="preserve">0.44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0.46 ± 0.01</w:t>
            </w:r>
          </w:p>
        </w:tc>
        <w:tc>
          <w:tcPr>
            <w:tcW w:w="1318" w:type="dxa"/>
          </w:tcPr>
          <w:tcPr/>
          <w:p>
            <w:pPr>
              <w:spacing w:after="0" w:line="240" w:lineRule="auto"/>
              <w:pStyle w:val="Compact"/>
              <w:jc w:val="right"/>
            </w:pPr>
            <w:r>
              <w:rPr>
                <w:sz w:val="20"/>
                <w:szCs w:val="20"/>
              </w:rPr>
              <w:t xml:space="preserve">0.41 ± 0.01</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80.42</w:t>
            </w:r>
          </w:p>
        </w:tc>
        <w:tc>
          <w:tcPr>
            <w:tcW w:w="1312" w:type="dxa"/>
          </w:tcPr>
          <w:tcPr/>
          <w:p>
            <w:pPr>
              <w:spacing w:after="0" w:line="240" w:lineRule="auto"/>
              <w:pStyle w:val="Compact"/>
              <w:jc w:val="right"/>
            </w:pPr>
            <w:r>
              <w:rPr>
                <w:sz w:val="20"/>
                <w:szCs w:val="20"/>
              </w:rPr>
              <w:t xml:space="preserve">81.49 ± 0.09</w:t>
            </w:r>
          </w:p>
        </w:tc>
        <w:tc>
          <w:tcPr>
            <w:tcW w:w="1312" w:type="dxa"/>
          </w:tcPr>
          <w:tcPr/>
          <w:p>
            <w:pPr>
              <w:spacing w:after="0" w:line="240" w:lineRule="auto"/>
              <w:pStyle w:val="Compact"/>
              <w:jc w:val="right"/>
            </w:pPr>
            <w:r>
              <w:rPr>
                <w:sz w:val="20"/>
                <w:szCs w:val="20"/>
              </w:rPr>
              <w:t xml:space="preserve">81.66 ± 0.11</w:t>
            </w:r>
          </w:p>
        </w:tc>
        <w:tc>
          <w:tcPr>
            <w:tcW w:w="1312" w:type="dxa"/>
          </w:tcPr>
          <w:tcPr/>
          <w:p>
            <w:pPr>
              <w:spacing w:after="0" w:line="240" w:lineRule="auto"/>
              <w:pStyle w:val="Compact"/>
              <w:jc w:val="right"/>
            </w:pPr>
            <w:r>
              <w:rPr>
                <w:sz w:val="20"/>
                <w:szCs w:val="20"/>
              </w:rPr>
              <w:t xml:space="preserve">81.56 ± 0.08</w:t>
            </w:r>
          </w:p>
        </w:tc>
        <w:tc>
          <w:tcPr>
            <w:tcW w:w="1312" w:type="dxa"/>
          </w:tcPr>
          <w:tcPr/>
          <w:p>
            <w:pPr>
              <w:spacing w:after="0" w:line="240" w:lineRule="auto"/>
              <w:pStyle w:val="Compact"/>
              <w:jc w:val="right"/>
            </w:pPr>
            <w:r>
              <w:rPr>
                <w:sz w:val="20"/>
                <w:szCs w:val="20"/>
              </w:rPr>
              <w:t xml:space="preserve">81.14 ± 0.09</w:t>
            </w:r>
          </w:p>
        </w:tc>
        <w:tc>
          <w:tcPr>
            <w:tcW w:w="1318" w:type="dxa"/>
          </w:tcPr>
          <w:tcPr/>
          <w:p>
            <w:pPr>
              <w:spacing w:after="0" w:line="240" w:lineRule="auto"/>
              <w:pStyle w:val="Compact"/>
              <w:jc w:val="right"/>
            </w:pPr>
            <w:r>
              <w:rPr>
                <w:sz w:val="20"/>
                <w:szCs w:val="20"/>
              </w:rPr>
              <w:t xml:space="preserve">81.58 ± 0.10</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4.47</w:t>
            </w:r>
          </w:p>
        </w:tc>
        <w:tc>
          <w:tcPr>
            <w:tcW w:w="1312" w:type="dxa"/>
          </w:tcPr>
          <w:tcPr/>
          <w:p>
            <w:pPr>
              <w:spacing w:after="0" w:line="240" w:lineRule="auto"/>
              <w:pStyle w:val="Compact"/>
              <w:jc w:val="right"/>
            </w:pPr>
            <w:r>
              <w:rPr>
                <w:sz w:val="20"/>
                <w:szCs w:val="20"/>
              </w:rPr>
              <w:t xml:space="preserve">4.24 ± 0.02</w:t>
            </w:r>
          </w:p>
        </w:tc>
        <w:tc>
          <w:tcPr>
            <w:tcW w:w="1312" w:type="dxa"/>
          </w:tcPr>
          <w:tcPr/>
          <w:p>
            <w:pPr>
              <w:spacing w:after="0" w:line="240" w:lineRule="auto"/>
              <w:pStyle w:val="Compact"/>
              <w:jc w:val="right"/>
            </w:pPr>
            <w:r>
              <w:rPr>
                <w:sz w:val="20"/>
                <w:szCs w:val="20"/>
              </w:rPr>
              <w:t xml:space="preserve">4.20 ± 0.03</w:t>
            </w:r>
          </w:p>
        </w:tc>
        <w:tc>
          <w:tcPr>
            <w:tcW w:w="1312" w:type="dxa"/>
          </w:tcPr>
          <w:tcPr/>
          <w:p>
            <w:pPr>
              <w:spacing w:after="0" w:line="240" w:lineRule="auto"/>
              <w:pStyle w:val="Compact"/>
              <w:jc w:val="right"/>
            </w:pPr>
            <w:r>
              <w:rPr>
                <w:sz w:val="20"/>
                <w:szCs w:val="20"/>
              </w:rPr>
              <w:t xml:space="preserve">4.23 ± 0.02</w:t>
            </w:r>
          </w:p>
        </w:tc>
        <w:tc>
          <w:tcPr>
            <w:tcW w:w="1312" w:type="dxa"/>
          </w:tcPr>
          <w:tcPr/>
          <w:p>
            <w:pPr>
              <w:spacing w:after="0" w:line="240" w:lineRule="auto"/>
              <w:pStyle w:val="Compact"/>
              <w:jc w:val="right"/>
            </w:pPr>
            <w:r>
              <w:rPr>
                <w:sz w:val="20"/>
                <w:szCs w:val="20"/>
              </w:rPr>
              <w:t xml:space="preserve">4.34 ± 0.02</w:t>
            </w:r>
          </w:p>
        </w:tc>
        <w:tc>
          <w:tcPr>
            <w:tcW w:w="1318" w:type="dxa"/>
          </w:tcPr>
          <w:tcPr/>
          <w:p>
            <w:pPr>
              <w:spacing w:after="0" w:line="240" w:lineRule="auto"/>
              <w:pStyle w:val="Compact"/>
              <w:jc w:val="right"/>
            </w:pPr>
            <w:r>
              <w:rPr>
                <w:sz w:val="20"/>
                <w:szCs w:val="20"/>
              </w:rPr>
              <w:t xml:space="preserve">4.23 ± 0.03</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13.05</w:t>
            </w:r>
          </w:p>
        </w:tc>
        <w:tc>
          <w:tcPr>
            <w:tcW w:w="1312" w:type="dxa"/>
          </w:tcPr>
          <w:tcPr/>
          <w:p>
            <w:pPr>
              <w:spacing w:after="0" w:line="240" w:lineRule="auto"/>
              <w:pStyle w:val="Compact"/>
              <w:jc w:val="right"/>
            </w:pPr>
            <w:r>
              <w:rPr>
                <w:sz w:val="20"/>
                <w:szCs w:val="20"/>
              </w:rPr>
              <w:t xml:space="preserve">12.52 ± 0.10</w:t>
            </w:r>
          </w:p>
        </w:tc>
        <w:tc>
          <w:tcPr>
            <w:tcW w:w="1312" w:type="dxa"/>
          </w:tcPr>
          <w:tcPr/>
          <w:p>
            <w:pPr>
              <w:spacing w:after="0" w:line="240" w:lineRule="auto"/>
              <w:pStyle w:val="Compact"/>
              <w:jc w:val="right"/>
            </w:pPr>
            <w:r>
              <w:rPr>
                <w:sz w:val="20"/>
                <w:szCs w:val="20"/>
              </w:rPr>
              <w:t xml:space="preserve">12.34 ± 0.09</w:t>
            </w:r>
          </w:p>
        </w:tc>
        <w:tc>
          <w:tcPr>
            <w:tcW w:w="1312" w:type="dxa"/>
          </w:tcPr>
          <w:tcPr/>
          <w:p>
            <w:pPr>
              <w:spacing w:after="0" w:line="240" w:lineRule="auto"/>
              <w:pStyle w:val="Compact"/>
              <w:jc w:val="right"/>
            </w:pPr>
            <w:r>
              <w:rPr>
                <w:sz w:val="20"/>
                <w:szCs w:val="20"/>
              </w:rPr>
              <w:t xml:space="preserve">12.49 ± 0.07</w:t>
            </w:r>
          </w:p>
        </w:tc>
        <w:tc>
          <w:tcPr>
            <w:tcW w:w="1312" w:type="dxa"/>
          </w:tcPr>
          <w:tcPr/>
          <w:p>
            <w:pPr>
              <w:spacing w:after="0" w:line="240" w:lineRule="auto"/>
              <w:pStyle w:val="Compact"/>
              <w:jc w:val="right"/>
            </w:pPr>
            <w:r>
              <w:rPr>
                <w:sz w:val="20"/>
                <w:szCs w:val="20"/>
              </w:rPr>
              <w:t xml:space="preserve">12.75 ± 0.06</w:t>
            </w:r>
          </w:p>
        </w:tc>
        <w:tc>
          <w:tcPr>
            <w:tcW w:w="1318" w:type="dxa"/>
          </w:tcPr>
          <w:tcPr/>
          <w:p>
            <w:pPr>
              <w:spacing w:after="0" w:line="240" w:lineRule="auto"/>
              <w:pStyle w:val="Compact"/>
              <w:jc w:val="right"/>
            </w:pPr>
            <w:r>
              <w:rPr>
                <w:sz w:val="20"/>
                <w:szCs w:val="20"/>
              </w:rPr>
              <w:t xml:space="preserve">12.33 ± 0.11</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0.14</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8" w:type="dxa"/>
          </w:tcPr>
          <w:tcPr/>
          <w:p>
            <w:pPr>
              <w:spacing w:after="0" w:line="240" w:lineRule="auto"/>
              <w:pStyle w:val="Compact"/>
              <w:jc w:val="right"/>
            </w:pPr>
            <w:r>
              <w:rPr>
                <w:sz w:val="20"/>
                <w:szCs w:val="20"/>
              </w:rPr>
              <w:t xml:space="preserve">0.13 ± 0.00</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0.51</w:t>
            </w:r>
          </w:p>
        </w:tc>
        <w:tc>
          <w:tcPr>
            <w:tcW w:w="1312" w:type="dxa"/>
          </w:tcPr>
          <w:tcPr/>
          <w:p>
            <w:pPr>
              <w:spacing w:after="0" w:line="240" w:lineRule="auto"/>
              <w:pStyle w:val="Compact"/>
              <w:jc w:val="right"/>
            </w:pPr>
            <w:r>
              <w:rPr>
                <w:sz w:val="20"/>
                <w:szCs w:val="20"/>
              </w:rPr>
              <w:t xml:space="preserve">0.44 ± 0.01</w:t>
            </w:r>
          </w:p>
        </w:tc>
        <w:tc>
          <w:tcPr>
            <w:tcW w:w="1312" w:type="dxa"/>
          </w:tcPr>
          <w:tcPr/>
          <w:p>
            <w:pPr>
              <w:spacing w:after="0" w:line="240" w:lineRule="auto"/>
              <w:pStyle w:val="Compact"/>
              <w:jc w:val="right"/>
            </w:pPr>
            <w:r>
              <w:rPr>
                <w:sz w:val="20"/>
                <w:szCs w:val="20"/>
              </w:rPr>
              <w:t xml:space="preserve">0.42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0.46 ± 0.01</w:t>
            </w:r>
          </w:p>
        </w:tc>
        <w:tc>
          <w:tcPr>
            <w:tcW w:w="1318" w:type="dxa"/>
          </w:tcPr>
          <w:tcPr/>
          <w:p>
            <w:pPr>
              <w:spacing w:after="0" w:line="240" w:lineRule="auto"/>
              <w:pStyle w:val="Compact"/>
              <w:jc w:val="right"/>
            </w:pPr>
            <w:r>
              <w:rPr>
                <w:sz w:val="20"/>
                <w:szCs w:val="20"/>
              </w:rPr>
              <w:t xml:space="preserve">0.42 ± 0.01</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99.99</w:t>
            </w:r>
          </w:p>
        </w:tc>
        <w:tc>
          <w:tcPr>
            <w:tcW w:w="1312" w:type="dxa"/>
          </w:tcPr>
          <w:tcPr/>
          <w:p>
            <w:pPr>
              <w:spacing w:after="0" w:line="240" w:lineRule="auto"/>
              <w:pStyle w:val="Compact"/>
              <w:jc w:val="right"/>
            </w:pPr>
            <w:r>
              <w:rPr>
                <w:sz w:val="20"/>
                <w:szCs w:val="20"/>
              </w:rPr>
              <w:t xml:space="preserve">100.37 ± 0.03</w:t>
            </w:r>
          </w:p>
        </w:tc>
        <w:tc>
          <w:tcPr>
            <w:tcW w:w="1312" w:type="dxa"/>
          </w:tcPr>
          <w:tcPr/>
          <w:p>
            <w:pPr>
              <w:spacing w:after="0" w:line="240" w:lineRule="auto"/>
              <w:pStyle w:val="Compact"/>
              <w:jc w:val="right"/>
            </w:pPr>
            <w:r>
              <w:rPr>
                <w:sz w:val="20"/>
                <w:szCs w:val="20"/>
              </w:rPr>
              <w:t xml:space="preserve">100.46 ± 0.04</w:t>
            </w:r>
          </w:p>
        </w:tc>
        <w:tc>
          <w:tcPr>
            <w:tcW w:w="1312" w:type="dxa"/>
          </w:tcPr>
          <w:tcPr/>
          <w:p>
            <w:pPr>
              <w:spacing w:after="0" w:line="240" w:lineRule="auto"/>
              <w:pStyle w:val="Compact"/>
              <w:jc w:val="right"/>
            </w:pPr>
            <w:r>
              <w:rPr>
                <w:sz w:val="20"/>
                <w:szCs w:val="20"/>
              </w:rPr>
              <w:t xml:space="preserve">100.48 ± 0.03</w:t>
            </w:r>
          </w:p>
        </w:tc>
        <w:tc>
          <w:tcPr>
            <w:tcW w:w="1312" w:type="dxa"/>
          </w:tcPr>
          <w:tcPr/>
          <w:p>
            <w:pPr>
              <w:spacing w:after="0" w:line="240" w:lineRule="auto"/>
              <w:pStyle w:val="Compact"/>
              <w:jc w:val="right"/>
            </w:pPr>
            <w:r>
              <w:rPr>
                <w:sz w:val="20"/>
                <w:szCs w:val="20"/>
              </w:rPr>
              <w:t xml:space="preserve">100.31 ± 0.02</w:t>
            </w:r>
          </w:p>
        </w:tc>
        <w:tc>
          <w:tcPr>
            <w:tcW w:w="1318" w:type="dxa"/>
          </w:tcPr>
          <w:tcPr/>
          <w:p>
            <w:pPr>
              <w:spacing w:after="0" w:line="240" w:lineRule="auto"/>
              <w:pStyle w:val="Compact"/>
              <w:jc w:val="right"/>
            </w:pPr>
            <w:r>
              <w:rPr>
                <w:sz w:val="20"/>
                <w:szCs w:val="20"/>
              </w:rPr>
              <w:t xml:space="preserve">100.44 ± 0.05</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10.43</w:t>
            </w:r>
          </w:p>
        </w:tc>
        <w:tc>
          <w:tcPr>
            <w:tcW w:w="1312" w:type="dxa"/>
          </w:tcPr>
          <w:tcPr/>
          <w:p>
            <w:pPr>
              <w:spacing w:after="0" w:line="240" w:lineRule="auto"/>
              <w:pStyle w:val="Compact"/>
              <w:jc w:val="right"/>
            </w:pPr>
            <w:r>
              <w:rPr>
                <w:sz w:val="20"/>
                <w:szCs w:val="20"/>
              </w:rPr>
              <w:t xml:space="preserve">10.30 ± 0.01</w:t>
            </w:r>
          </w:p>
        </w:tc>
        <w:tc>
          <w:tcPr>
            <w:tcW w:w="1312" w:type="dxa"/>
          </w:tcPr>
          <w:tcPr/>
          <w:p>
            <w:pPr>
              <w:spacing w:after="0" w:line="240" w:lineRule="auto"/>
              <w:pStyle w:val="Compact"/>
              <w:jc w:val="right"/>
            </w:pPr>
            <w:r>
              <w:rPr>
                <w:sz w:val="20"/>
                <w:szCs w:val="20"/>
              </w:rPr>
              <w:t xml:space="preserve">10.25 ± 0.02</w:t>
            </w:r>
          </w:p>
        </w:tc>
        <w:tc>
          <w:tcPr>
            <w:tcW w:w="1312" w:type="dxa"/>
          </w:tcPr>
          <w:tcPr/>
          <w:p>
            <w:pPr>
              <w:spacing w:after="0" w:line="240" w:lineRule="auto"/>
              <w:pStyle w:val="Compact"/>
              <w:jc w:val="right"/>
            </w:pPr>
            <w:r>
              <w:rPr>
                <w:sz w:val="20"/>
                <w:szCs w:val="20"/>
              </w:rPr>
              <w:t xml:space="preserve">10.25 ± 0.01</w:t>
            </w:r>
          </w:p>
        </w:tc>
        <w:tc>
          <w:tcPr>
            <w:tcW w:w="1312" w:type="dxa"/>
          </w:tcPr>
          <w:tcPr/>
          <w:p>
            <w:pPr>
              <w:spacing w:after="0" w:line="240" w:lineRule="auto"/>
              <w:pStyle w:val="Compact"/>
              <w:jc w:val="right"/>
            </w:pPr>
            <w:r>
              <w:rPr>
                <w:sz w:val="20"/>
                <w:szCs w:val="20"/>
              </w:rPr>
              <w:t xml:space="preserve">10.31 ± 0.01</w:t>
            </w:r>
          </w:p>
        </w:tc>
        <w:tc>
          <w:tcPr>
            <w:tcW w:w="1318" w:type="dxa"/>
          </w:tcPr>
          <w:tcPr/>
          <w:p>
            <w:pPr>
              <w:spacing w:after="0" w:line="240" w:lineRule="auto"/>
              <w:pStyle w:val="Compact"/>
              <w:jc w:val="right"/>
            </w:pPr>
            <w:r>
              <w:rPr>
                <w:sz w:val="20"/>
                <w:szCs w:val="20"/>
              </w:rPr>
              <w:t xml:space="preserve">10.26 ± 0.02</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5.17</w:t>
            </w:r>
          </w:p>
        </w:tc>
        <w:tc>
          <w:tcPr>
            <w:tcW w:w="1312" w:type="dxa"/>
          </w:tcPr>
          <w:tcPr/>
          <w:p>
            <w:pPr>
              <w:spacing w:after="0" w:line="240" w:lineRule="auto"/>
              <w:pStyle w:val="Compact"/>
              <w:jc w:val="right"/>
            </w:pPr>
            <w:r>
              <w:rPr>
                <w:sz w:val="20"/>
                <w:szCs w:val="20"/>
              </w:rPr>
              <w:t xml:space="preserve">4.99 ± 0.02</w:t>
            </w:r>
          </w:p>
        </w:tc>
        <w:tc>
          <w:tcPr>
            <w:tcW w:w="1312" w:type="dxa"/>
          </w:tcPr>
          <w:tcPr/>
          <w:p>
            <w:pPr>
              <w:spacing w:after="0" w:line="240" w:lineRule="auto"/>
              <w:pStyle w:val="Compact"/>
              <w:jc w:val="right"/>
            </w:pPr>
            <w:r>
              <w:rPr>
                <w:sz w:val="20"/>
                <w:szCs w:val="20"/>
              </w:rPr>
              <w:t xml:space="preserve">4.87 ± 0.03</w:t>
            </w:r>
          </w:p>
        </w:tc>
        <w:tc>
          <w:tcPr>
            <w:tcW w:w="1312" w:type="dxa"/>
          </w:tcPr>
          <w:tcPr/>
          <w:p>
            <w:pPr>
              <w:spacing w:after="0" w:line="240" w:lineRule="auto"/>
              <w:pStyle w:val="Compact"/>
              <w:jc w:val="right"/>
            </w:pPr>
            <w:r>
              <w:rPr>
                <w:sz w:val="20"/>
                <w:szCs w:val="20"/>
              </w:rPr>
              <w:t xml:space="preserve">4.89 ± 0.03</w:t>
            </w:r>
          </w:p>
        </w:tc>
        <w:tc>
          <w:tcPr>
            <w:tcW w:w="1312" w:type="dxa"/>
          </w:tcPr>
          <w:tcPr/>
          <w:p>
            <w:pPr>
              <w:spacing w:after="0" w:line="240" w:lineRule="auto"/>
              <w:pStyle w:val="Compact"/>
              <w:jc w:val="right"/>
            </w:pPr>
            <w:r>
              <w:rPr>
                <w:sz w:val="20"/>
                <w:szCs w:val="20"/>
              </w:rPr>
              <w:t xml:space="preserve">5.02 ± 0.02</w:t>
            </w:r>
          </w:p>
        </w:tc>
        <w:tc>
          <w:tcPr>
            <w:tcW w:w="1318" w:type="dxa"/>
          </w:tcPr>
          <w:tcPr/>
          <w:p>
            <w:pPr>
              <w:spacing w:after="0" w:line="240" w:lineRule="auto"/>
              <w:pStyle w:val="Compact"/>
              <w:jc w:val="right"/>
            </w:pPr>
            <w:r>
              <w:rPr>
                <w:sz w:val="20"/>
                <w:szCs w:val="20"/>
              </w:rPr>
              <w:t xml:space="preserve">4.90 ± 0.05</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0.16</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8" w:type="dxa"/>
          </w:tcPr>
          <w:tcPr/>
          <w:p>
            <w:pPr>
              <w:spacing w:after="0" w:line="240" w:lineRule="auto"/>
              <w:pStyle w:val="Compact"/>
              <w:jc w:val="right"/>
            </w:pPr>
            <w:r>
              <w:rPr>
                <w:sz w:val="20"/>
                <w:szCs w:val="20"/>
              </w:rPr>
              <w:t xml:space="preserve">0.16 ± 0.00</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0.20</w:t>
            </w:r>
          </w:p>
        </w:tc>
        <w:tc>
          <w:tcPr>
            <w:tcW w:w="1312" w:type="dxa"/>
          </w:tcPr>
          <w:tcPr/>
          <w:p>
            <w:pPr>
              <w:spacing w:after="0" w:line="240" w:lineRule="auto"/>
              <w:pStyle w:val="Compact"/>
              <w:jc w:val="right"/>
            </w:pPr>
            <w:r>
              <w:rPr>
                <w:sz w:val="20"/>
                <w:szCs w:val="20"/>
              </w:rPr>
              <w:t xml:space="preserve">0.17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0.18 ± 0.00</w:t>
            </w:r>
          </w:p>
        </w:tc>
        <w:tc>
          <w:tcPr>
            <w:tcW w:w="1318" w:type="dxa"/>
          </w:tcPr>
          <w:tcPr/>
          <w:p>
            <w:pPr>
              <w:spacing w:after="0" w:line="240" w:lineRule="auto"/>
              <w:pStyle w:val="Compact"/>
              <w:jc w:val="right"/>
            </w:pPr>
            <w:r>
              <w:rPr>
                <w:sz w:val="20"/>
                <w:szCs w:val="20"/>
              </w:rPr>
              <w:t xml:space="preserve">0.17 ± 0.00</w:t>
            </w:r>
          </w:p>
        </w:tc>
      </w:tr>
    </w:tbl>
    <w:bookmarkEnd w:id="117"/>
    <w:bookmarkEnd w:id="118"/>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b/>
      <w:bCs/>
      <w:sz w:val="32"/>
      <w:szCs w:val="32"/>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93" Target="media/rId93.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109" Target="media/rId109.png" /><Relationship Type="http://schemas.openxmlformats.org/officeDocument/2006/relationships/image" Id="rId53" Target="media/rId53.png" /><Relationship Type="http://schemas.openxmlformats.org/officeDocument/2006/relationships/image" Id="rId73" Target="media/rId73.png" /><Relationship Type="http://schemas.openxmlformats.org/officeDocument/2006/relationships/image" Id="rId112" Target="media/rId11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2026-09-30T17:30:37Z</dcterms:created>
  <dcterms:modified xsi:type="dcterms:W3CDTF">2026-09-30T17:30:37Z</dcterms:modified>
</cp:coreProperties>
</file>

<file path=docProps/custom.xml><?xml version="1.0" encoding="utf-8"?>
<Properties xmlns="http://schemas.openxmlformats.org/officeDocument/2006/custom-properties" xmlns:vt="http://schemas.openxmlformats.org/officeDocument/2006/docPropsVTypes"/>
</file>