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2.png" ContentType="image/png"/>
  <Override PartName="/word/media/rId57.png" ContentType="image/png"/>
  <Override PartName="/word/media/rId62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supplementary-material"/>
    <w:p>
      <w:pPr>
        <w:pStyle w:val="Heading1"/>
      </w:pPr>
      <w:r>
        <w:t xml:space="preserve">Supplementary material</w:t>
      </w:r>
    </w:p>
    <w:p>
      <w:pPr>
        <w:pStyle w:val="FirstParagraph"/>
      </w:pPr>
      <w:r>
        <w:t xml:space="preserve">Companion to</w:t>
      </w:r>
      <w:r>
        <w:t xml:space="preserve"> </w:t>
      </w:r>
      <w:r>
        <w:rPr>
          <w:i/>
          <w:iCs/>
        </w:rPr>
        <w:t xml:space="preserve">Can a fine-tuned language model generate time-use diaries for a country without survey</w:t>
      </w:r>
      <w:r>
        <w:rPr>
          <w:i/>
          <w:iCs/>
        </w:rPr>
        <w:t xml:space="preserve"> </w:t>
      </w:r>
      <w:r>
        <w:rPr>
          <w:i/>
          <w:iCs/>
        </w:rPr>
        <w:t xml:space="preserve">data? A pre-registered test against reweighted real diaries</w:t>
      </w:r>
      <w:r>
        <w:t xml:space="preserve">.</w:t>
      </w:r>
    </w:p>
    <w:p>
      <w:pPr>
        <w:pStyle w:val="BodyText"/>
      </w:pPr>
      <w:r>
        <w:t xml:space="preserve">Contents. S1 the registered check set, with each tolerance’s provenance. S2 the model card. S3 the</w:t>
      </w:r>
      <w:r>
        <w:t xml:space="preserve"> </w:t>
      </w:r>
      <w:r>
        <w:t xml:space="preserve">conditioning prefix and its census sources. S4 campaign sizes. S5 survey details. S6 harmonisation,</w:t>
      </w:r>
      <w:r>
        <w:t xml:space="preserve"> </w:t>
      </w:r>
      <w:r>
        <w:t xml:space="preserve">serialisation and population-linkage checks in detail. S7 supplementary results (Figures S1 to S4,</w:t>
      </w:r>
      <w:r>
        <w:t xml:space="preserve"> </w:t>
      </w:r>
      <w:r>
        <w:t xml:space="preserve">Tables S2 to S5). S8 the schedule clock correction. S9 the observed-stock campaigns. S10 validation</w:t>
      </w:r>
      <w:r>
        <w:t xml:space="preserve"> </w:t>
      </w:r>
      <w:r>
        <w:t xml:space="preserve">conventions. S11 limitations in full. S12 open items and documentation notes.</w:t>
      </w:r>
    </w:p>
    <w:p>
      <w:r>
        <w:pict>
          <v:rect style="width:0;height:1.5pt" o:hralign="center" o:hrstd="t" o:hr="t"/>
        </w:pict>
      </w:r>
    </w:p>
    <w:bookmarkStart w:id="46" w:name="s1.-the-registered-check-set"/>
    <w:p>
      <w:pPr>
        <w:pStyle w:val="Heading2"/>
      </w:pPr>
      <w:r>
        <w:t xml:space="preserve">S1. The registered check set</w:t>
      </w:r>
    </w:p>
    <w:p>
      <w:pPr>
        <w:pStyle w:val="FirstParagraph"/>
      </w:pPr>
      <w:r>
        <w:t xml:space="preserve">Tolerances are marked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where the threshold comes from a published external source,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where it</w:t>
      </w:r>
      <w:r>
        <w:t xml:space="preserve"> </w:t>
      </w:r>
      <w:r>
        <w:t xml:space="preserve">was chosen by this project and registered before use, and</w:t>
      </w:r>
      <w:r>
        <w:t xml:space="preserve"> </w:t>
      </w:r>
      <w:r>
        <w:rPr>
          <w:b/>
          <w:bCs/>
        </w:rPr>
        <w:t xml:space="preserve">H</w:t>
      </w:r>
      <w:r>
        <w:t xml:space="preserve"> </w:t>
      </w:r>
      <w:r>
        <w:t xml:space="preserve">where it is a heuristic with no external</w:t>
      </w:r>
      <w:r>
        <w:t xml:space="preserve"> </w:t>
      </w:r>
      <w:r>
        <w:t xml:space="preserve">authority. The provenance mark is part of the registration and was not assigned after the results were</w:t>
      </w:r>
      <w:r>
        <w:t xml:space="preserve"> </w:t>
      </w:r>
      <w:r>
        <w:t xml:space="preserve">seen. Verdicts are printed as PASS, FAIL or NOT CHECKED.</w:t>
      </w:r>
    </w:p>
    <w:bookmarkStart w:id="40" w:name="X6ea001ffa4ca766242ff11d4a53597c43b7ecb9"/>
    <w:p>
      <w:pPr>
        <w:pStyle w:val="Heading3"/>
      </w:pPr>
      <w:r>
        <w:t xml:space="preserve">S1.1 Corpus, harmonisation and serialisation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What it scores</w:t>
            </w:r>
          </w:p>
        </w:tc>
        <w:tc>
          <w:tcPr/>
          <w:p>
            <w:pPr>
              <w:pStyle w:val="Compact"/>
            </w:pPr>
            <w: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Prov.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Acquisition, 16 checks</w:t>
            </w:r>
          </w:p>
        </w:tc>
        <w:tc>
          <w:tcPr/>
          <w:p>
            <w:pPr>
              <w:pStyle w:val="Compact"/>
            </w:pPr>
            <w:r>
              <w:t xml:space="preserve">delivery integrity, codebook coverage, weight bounds, manifest completeness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Spain 15 PASS; Italy 1 FAIL; UK 1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 source URL</w:t>
            </w:r>
          </w:p>
        </w:tc>
        <w:tc>
          <w:tcPr/>
          <w:p>
            <w:pPr>
              <w:pStyle w:val="Compact"/>
            </w:pPr>
            <w:r>
              <w:t xml:space="preserve">a per-file source URL exists in the delivery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recorded as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 activity labels</w:t>
            </w:r>
          </w:p>
        </w:tc>
        <w:tc>
          <w:tcPr/>
          <w:p>
            <w:pPr>
              <w:pStyle w:val="Compact"/>
            </w:pPr>
            <w:r>
              <w:t xml:space="preserve">every delivered activity code is labelled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one code labelled nowhere in the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Harmonisation, 18 checks</w:t>
            </w:r>
          </w:p>
        </w:tc>
        <w:tc>
          <w:tcPr/>
          <w:p>
            <w:pPr>
              <w:pStyle w:val="Compact"/>
            </w:pPr>
            <w:r>
              <w:t xml:space="preserve">alphabet closure, episode conservation, slot tiling, unknown-band prevalence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16 PASS, 1 FAIL, 1 NOT 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Unknown-band escalation</w:t>
            </w:r>
          </w:p>
        </w:tc>
        <w:tc>
          <w:tcPr/>
          <w:p>
            <w:pPr>
              <w:pStyle w:val="Compact"/>
            </w:pPr>
            <w:r>
              <w:t xml:space="preserve">one country’s unknown share against another’s</w:t>
            </w:r>
          </w:p>
        </w:tc>
        <w:tc>
          <w:tcPr/>
          <w:p>
            <w:pPr>
              <w:pStyle w:val="Compact"/>
            </w:pPr>
            <w:r>
              <w:t xml:space="preserve">10x ratio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FAIL; the clause fires unconditionally against a zero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table agreement</w:t>
            </w:r>
          </w:p>
        </w:tc>
        <w:tc>
          <w:tcPr/>
          <w:p>
            <w:pPr>
              <w:pStyle w:val="Compact"/>
            </w:pPr>
            <w:r>
              <w:t xml:space="preserve">harmonised budgets against a published national table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NOT CHECKED; no independent published table is held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Serialisation, 20 checks</w:t>
            </w:r>
          </w:p>
        </w:tc>
        <w:tc>
          <w:tcPr/>
          <w:p>
            <w:pPr>
              <w:pStyle w:val="Compact"/>
            </w:pPr>
            <w:r>
              <w:t xml:space="preserve">round-trip fidelity, token length, terminator presence, stratum coverage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19 of 20 PASS; every fault-injection test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length</w:t>
            </w:r>
          </w:p>
        </w:tc>
        <w:tc>
          <w:tcPr/>
          <w:p>
            <w:pPr>
              <w:pStyle w:val="Compact"/>
            </w:pPr>
            <w:r>
              <w:t xml:space="preserve">median, 99th percentile, maximum</w:t>
            </w:r>
          </w:p>
        </w:tc>
        <w:tc>
          <w:tcPr/>
          <w:p>
            <w:pPr>
              <w:pStyle w:val="Compact"/>
            </w:pPr>
            <w:r>
              <w:t xml:space="preserve">300 / 700 / 1200 tokens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 at 256 / 632 / 1178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Stratum completeness</w:t>
            </w:r>
          </w:p>
        </w:tc>
        <w:tc>
          <w:tcPr/>
          <w:p>
            <w:pPr>
              <w:pStyle w:val="Compact"/>
            </w:pPr>
            <w:r>
              <w:t xml:space="preserve">no stratum coded unknown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 on the UK, 551 diaries, neither imputed nor dropped</w:t>
            </w:r>
          </w:p>
        </w:tc>
      </w:tr>
    </w:tbl>
    <w:bookmarkEnd w:id="40"/>
    <w:bookmarkStart w:id="41" w:name="s1.2-training"/>
    <w:p>
      <w:pPr>
        <w:pStyle w:val="Heading3"/>
      </w:pPr>
      <w:r>
        <w:t xml:space="preserve">S1.2 Training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What it scores</w:t>
            </w:r>
          </w:p>
        </w:tc>
        <w:tc>
          <w:tcPr/>
          <w:p>
            <w:pPr>
              <w:pStyle w:val="Compact"/>
            </w:pPr>
            <w: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Prov.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Within-stratum variance ratio</w:t>
            </w:r>
          </w:p>
        </w:tc>
        <w:tc>
          <w:tcPr/>
          <w:p>
            <w:pPr>
              <w:pStyle w:val="Compact"/>
            </w:pPr>
            <w:r>
              <w:t xml:space="preserve">generated against real dispersion inside a stratum</w:t>
            </w:r>
          </w:p>
        </w:tc>
        <w:tc>
          <w:tcPr/>
          <w:p>
            <w:pPr>
              <w:pStyle w:val="Compact"/>
            </w:pPr>
            <w:r>
              <w:t xml:space="preserve">0.80 to 1.25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3 of 3; resolution-limited, see S1.6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Shuffled-prefix cross-entropy</w:t>
            </w:r>
          </w:p>
        </w:tc>
        <w:tc>
          <w:tcPr/>
          <w:p>
            <w:pPr>
              <w:pStyle w:val="Compact"/>
            </w:pPr>
            <w:r>
              <w:t xml:space="preserve">rise when the prefix is permuted</w:t>
            </w:r>
          </w:p>
        </w:tc>
        <w:tc>
          <w:tcPr/>
          <w:p>
            <w:pPr>
              <w:pStyle w:val="Compact"/>
            </w:pPr>
            <w:r>
              <w:t xml:space="preserve">at least 0.15 nats/token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H, unsourced</w:t>
            </w:r>
          </w:p>
        </w:tc>
        <w:tc>
          <w:tcPr/>
          <w:p>
            <w:pPr>
              <w:pStyle w:val="Compact"/>
            </w:pPr>
            <w:r>
              <w:t xml:space="preserve">FAIL, 7 of 7; measured 0.068 to 0.106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merge drift</w:t>
            </w:r>
          </w:p>
        </w:tc>
        <w:tc>
          <w:tcPr/>
          <w:p>
            <w:pPr>
              <w:pStyle w:val="Compact"/>
            </w:pPr>
            <w:r>
              <w:t xml:space="preserve">maximum logit difference, merged against unmerged</w:t>
            </w:r>
          </w:p>
        </w:tc>
        <w:tc>
          <w:tcPr/>
          <w:p>
            <w:pPr>
              <w:pStyle w:val="Compact"/>
            </w:pPr>
            <w:r>
              <w:t xml:space="preserve">below 1e-4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FAIL, 4 of 4; measured 3.2e-4 to 7.3e-4 across those four scored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masking</w:t>
            </w:r>
          </w:p>
        </w:tc>
        <w:tc>
          <w:tcPr/>
          <w:p>
            <w:pPr>
              <w:pStyle w:val="Compact"/>
            </w:pPr>
            <w:r>
              <w:t xml:space="preserve">prompt and pad positions carry the ignore label</w:t>
            </w:r>
          </w:p>
        </w:tc>
        <w:tc>
          <w:tcPr/>
          <w:p>
            <w:pPr>
              <w:pStyle w:val="Compact"/>
            </w:pPr>
            <w:r>
              <w:t xml:space="preserve">100 per cent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Held-in probe loss</w:t>
            </w:r>
          </w:p>
        </w:tc>
        <w:tc>
          <w:tcPr/>
          <w:p>
            <w:pPr>
              <w:pStyle w:val="Compact"/>
            </w:pPr>
            <w:r>
              <w:t xml:space="preserve">final checkpoint within 5 per cent of its own best</w:t>
            </w:r>
          </w:p>
        </w:tc>
        <w:tc>
          <w:tcPr/>
          <w:p>
            <w:pPr>
              <w:pStyle w:val="Compact"/>
            </w:pPr>
            <w:r>
              <w:t xml:space="preserve">5 per cent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 on OLMo 3 7B, FAIL on Qwen2.5-7B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Within-stratum shuffle</w:t>
            </w:r>
          </w:p>
        </w:tc>
        <w:tc>
          <w:tcPr/>
          <w:p>
            <w:pPr>
              <w:pStyle w:val="Compact"/>
            </w:pPr>
            <w:r>
              <w:t xml:space="preserve">cross-entropy rise and mutual-information drop, conjoined</w:t>
            </w:r>
          </w:p>
        </w:tc>
        <w:tc>
          <w:tcPr/>
          <w:p>
            <w:pPr>
              <w:pStyle w:val="Compact"/>
            </w:pPr>
            <w:r>
              <w:t xml:space="preserve">0.15 nats and 0.10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FAIL; no decision record, see S1.6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isolation</w:t>
            </w:r>
          </w:p>
        </w:tc>
        <w:tc>
          <w:tcPr/>
          <w:p>
            <w:pPr>
              <w:pStyle w:val="Compact"/>
            </w:pPr>
            <w:r>
              <w:t xml:space="preserve">held-out-country records loaded during training</w:t>
            </w:r>
          </w:p>
        </w:tc>
        <w:tc>
          <w:tcPr/>
          <w:p>
            <w:pPr>
              <w:pStyle w:val="Compact"/>
            </w:pPr>
            <w:r>
              <w:t xml:space="preserve">exactly zero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PASS, every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Pre-registration precedence</w:t>
            </w:r>
          </w:p>
        </w:tc>
        <w:tc>
          <w:tcPr/>
          <w:p>
            <w:pPr>
              <w:pStyle w:val="Compact"/>
            </w:pPr>
            <w:r>
              <w:t xml:space="preserve">live hash of the frozen file against its registered value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PASS, every run</w:t>
            </w:r>
          </w:p>
        </w:tc>
      </w:tr>
    </w:tbl>
    <w:bookmarkEnd w:id="41"/>
    <w:bookmarkStart w:id="42" w:name="s1.3-conditioning-and-population-linkage"/>
    <w:p>
      <w:pPr>
        <w:pStyle w:val="Heading3"/>
      </w:pPr>
      <w:r>
        <w:t xml:space="preserve">S1.3 Conditioning and population linkage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What it scores</w:t>
            </w:r>
          </w:p>
        </w:tc>
        <w:tc>
          <w:tcPr/>
          <w:p>
            <w:pPr>
              <w:pStyle w:val="Compact"/>
            </w:pPr>
            <w: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Prov.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Raking convergence</w:t>
            </w:r>
          </w:p>
        </w:tc>
        <w:tc>
          <w:tcPr/>
          <w:p>
            <w:pPr>
              <w:pStyle w:val="Compact"/>
            </w:pPr>
            <w:r>
              <w:t xml:space="preserve">worst absolute marginal deviation after fitting</w:t>
            </w:r>
          </w:p>
        </w:tc>
        <w:tc>
          <w:tcPr/>
          <w:p>
            <w:pPr>
              <w:pStyle w:val="Compact"/>
            </w:pPr>
            <w:r>
              <w:t xml:space="preserve">below 1e-13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provenance</w:t>
            </w:r>
          </w:p>
        </w:tc>
        <w:tc>
          <w:tcPr/>
          <w:p>
            <w:pPr>
              <w:pStyle w:val="Compact"/>
            </w:pPr>
            <w:r>
              <w:t xml:space="preserve">both sides of any comparison carry the same marginal source</w:t>
            </w:r>
          </w:p>
        </w:tc>
        <w:tc>
          <w:tcPr/>
          <w:p>
            <w:pPr>
              <w:pStyle w:val="Compact"/>
            </w:pPr>
            <w: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PASS, enforced in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 calibration reporting</w:t>
            </w:r>
          </w:p>
        </w:tc>
        <w:tc>
          <w:tcPr/>
          <w:p>
            <w:pPr>
              <w:pStyle w:val="Compact"/>
            </w:pPr>
            <w:r>
              <w:t xml:space="preserve">the chosen temperature and its sensitivity are reported</w:t>
            </w:r>
          </w:p>
        </w:tc>
        <w:tc>
          <w:tcPr/>
          <w:p>
            <w:pPr>
              <w:pStyle w:val="Compact"/>
            </w:pPr>
            <w:r>
              <w:t xml:space="preserve">reported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 calibration sensitivity</w:t>
            </w:r>
          </w:p>
        </w:tc>
        <w:tc>
          <w:tcPr/>
          <w:p>
            <w:pPr>
              <w:pStyle w:val="Compact"/>
            </w:pPr>
            <w:r>
              <w:t xml:space="preserve">entropy step exceeds seed-to-seed re-run noise</w:t>
            </w:r>
          </w:p>
        </w:tc>
        <w:tc>
          <w:tcPr/>
          <w:p>
            <w:pPr>
              <w:pStyle w:val="Compact"/>
            </w:pPr>
            <w:r>
              <w:t xml:space="preserve">ratio above 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on Spain (0.51) and the UK (0.99), PASS on Italy (1.29)</w:t>
            </w:r>
          </w:p>
        </w:tc>
      </w:tr>
    </w:tbl>
    <w:p>
      <w:pPr>
        <w:pStyle w:val="BodyText"/>
      </w:pPr>
      <w:r>
        <w:t xml:space="preserve">Of 36 check-by-fold verdicts at this stage, 34 pass and 2 do not. Both are the temperature sensitivity</w:t>
      </w:r>
      <w:r>
        <w:t xml:space="preserve"> </w:t>
      </w:r>
      <w:r>
        <w:t xml:space="preserve">check, which on Spain and the UK shows an entropy step no larger than the seed-to-seed noise. No</w:t>
      </w:r>
      <w:r>
        <w:t xml:space="preserve"> </w:t>
      </w:r>
      <w:r>
        <w:t xml:space="preserve">temperature was re-tuned and no re-run was performed.</w:t>
      </w:r>
    </w:p>
    <w:bookmarkEnd w:id="42"/>
    <w:bookmarkStart w:id="43" w:name="s1.4-transfer"/>
    <w:p>
      <w:pPr>
        <w:pStyle w:val="Heading3"/>
      </w:pPr>
      <w:r>
        <w:t xml:space="preserve">S1.4 Transfer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What it scores</w:t>
            </w:r>
          </w:p>
        </w:tc>
        <w:tc>
          <w:tcPr/>
          <w:p>
            <w:pPr>
              <w:pStyle w:val="Compact"/>
            </w:pPr>
            <w: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Prov.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 bar</w:t>
            </w:r>
          </w:p>
        </w:tc>
        <w:tc>
          <w:tcPr/>
          <w:p>
            <w:pPr>
              <w:pStyle w:val="Compact"/>
            </w:pPr>
            <w:r>
              <w:t xml:space="preserve">model time-budget error against the raked donor pool</w:t>
            </w:r>
          </w:p>
        </w:tc>
        <w:tc>
          <w:tcPr/>
          <w:p>
            <w:pPr>
              <w:pStyle w:val="Compact"/>
            </w:pPr>
            <w:r>
              <w:t xml:space="preserve">positive margin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C, pre-registered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FAIL, 9 of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Single-donor baselines</w:t>
            </w:r>
          </w:p>
        </w:tc>
        <w:tc>
          <w:tcPr/>
          <w:p>
            <w:pPr>
              <w:pStyle w:val="Compact"/>
            </w:pPr>
            <w:r>
              <w:t xml:space="preserve">each donor country’s own population as a comparison</w:t>
            </w:r>
          </w:p>
        </w:tc>
        <w:tc>
          <w:tcPr/>
          <w:p>
            <w:pPr>
              <w:pStyle w:val="Compact"/>
            </w:pPr>
            <w:r>
              <w:t xml:space="preserve">positive margin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reported, six populations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Pooled-average baseline</w:t>
            </w:r>
          </w:p>
        </w:tc>
        <w:tc>
          <w:tcPr/>
          <w:p>
            <w:pPr>
              <w:pStyle w:val="Compact"/>
            </w:pPr>
            <w:r>
              <w:t xml:space="preserve">the cross-country pooled average, demoted to secondary</w:t>
            </w:r>
          </w:p>
        </w:tc>
        <w:tc>
          <w:tcPr/>
          <w:p>
            <w:pPr>
              <w:pStyle w:val="Compact"/>
            </w:pPr>
            <w:r>
              <w:t xml:space="preserve">positive margin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agreement</w:t>
            </w:r>
          </w:p>
        </w:tc>
        <w:tc>
          <w:tcPr/>
          <w:p>
            <w:pPr>
              <w:pStyle w:val="Compact"/>
            </w:pPr>
            <w:r>
              <w:t xml:space="preserve">level-1 budget against published tables</w:t>
            </w:r>
          </w:p>
        </w:tc>
        <w:tc>
          <w:tcPr/>
          <w:p>
            <w:pPr>
              <w:pStyle w:val="Compact"/>
            </w:pPr>
            <w:r>
              <w:t xml:space="preserve">MAPE at or below 15 per cent; absolute bar of 15 min/day for groups below 10 min/day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FAIL, 9 of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 limitation criteria</w:t>
            </w:r>
          </w:p>
        </w:tc>
        <w:tc>
          <w:tcPr/>
          <w:p>
            <w:pPr>
              <w:pStyle w:val="Compact"/>
            </w:pPr>
            <w:r>
              <w:t xml:space="preserve">three pre-declared conditions (model error not below the baseline’s; MAPE above 20 per cent; model and published budget on opposite sides of the HETUS mean)</w:t>
            </w:r>
          </w:p>
        </w:tc>
        <w:tc>
          <w:tcPr/>
          <w:p>
            <w:pPr>
              <w:pStyle w:val="Compact"/>
            </w:pPr>
            <w:r>
              <w:t xml:space="preserve">a cell is marked if any one holds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9 of 9; fault-injection coverage not demonstrable, see S7.2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Held-in regression</w:t>
            </w:r>
          </w:p>
        </w:tc>
        <w:tc>
          <w:tcPr/>
          <w:p>
            <w:pPr>
              <w:pStyle w:val="Compact"/>
            </w:pPr>
            <w:r>
              <w:t xml:space="preserve">training-country prefixes clear the same bar, and no forgetting</w:t>
            </w:r>
          </w:p>
        </w:tc>
        <w:tc>
          <w:tcPr/>
          <w:p>
            <w:pPr>
              <w:pStyle w:val="Compact"/>
            </w:pPr>
            <w:r>
              <w:t xml:space="preserve">15 per cent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FAIL, 6 of 6 on clause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Fictional country, direction</w:t>
            </w:r>
          </w:p>
        </w:tc>
        <w:tc>
          <w:tcPr/>
          <w:p>
            <w:pPr>
              <w:pStyle w:val="Compact"/>
            </w:pPr>
            <w:r>
              <w:t xml:space="preserve">movement in the specified direction</w:t>
            </w:r>
          </w:p>
        </w:tc>
        <w:tc>
          <w:tcPr/>
          <w:p>
            <w:pPr>
              <w:pStyle w:val="Compact"/>
            </w:pPr>
            <w:r>
              <w:t xml:space="preserve">R-squared at least 0.80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PASS, 3 of 3, OLMo 3 7B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Fictional country, amplitude</w:t>
            </w:r>
          </w:p>
        </w:tc>
        <w:tc>
          <w:tcPr/>
          <w:p>
            <w:pPr>
              <w:pStyle w:val="Compact"/>
            </w:pPr>
            <w:r>
              <w:t xml:space="preserve">movement of the specified size</w:t>
            </w:r>
          </w:p>
        </w:tc>
        <w:tc>
          <w:tcPr/>
          <w:p>
            <w:pPr>
              <w:pStyle w:val="Compact"/>
            </w:pPr>
            <w:r>
              <w:t xml:space="preserve">slope at least 0.80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3 of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structure, dwell time</w:t>
            </w:r>
          </w:p>
        </w:tc>
        <w:tc>
          <w:tcPr/>
          <w:p>
            <w:pPr>
              <w:pStyle w:val="Compact"/>
            </w:pPr>
            <w:r>
              <w:t xml:space="preserve">largest Wasserstein distance of episode durations over ten activities, against real held-out diaries</w:t>
            </w:r>
          </w:p>
        </w:tc>
        <w:tc>
          <w:tcPr/>
          <w:p>
            <w:pPr>
              <w:pStyle w:val="Compact"/>
            </w:pPr>
            <w:r>
              <w:t xml:space="preserve">10.0 min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50.13 to 66.57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structure, transitions</w:t>
            </w:r>
          </w:p>
        </w:tc>
        <w:tc>
          <w:tcPr/>
          <w:p>
            <w:pPr>
              <w:pStyle w:val="Compact"/>
            </w:pPr>
            <w:r>
              <w:t xml:space="preserve">total variation of the transition distribution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0.1623 to 0.2344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structure, daily shape</w:t>
            </w:r>
          </w:p>
        </w:tc>
        <w:tc>
          <w:tcPr/>
          <w:p>
            <w:pPr>
              <w:pStyle w:val="Compact"/>
            </w:pPr>
            <w:r>
              <w:t xml:space="preserve">Jensen-Shannon divergence of time-of-day distributions, mean over activities</w:t>
            </w:r>
          </w:p>
        </w:tc>
        <w:tc>
          <w:tcPr/>
          <w:p>
            <w:pPr>
              <w:pStyle w:val="Compact"/>
            </w:pPr>
            <w:r>
              <w:t xml:space="preserve">0.015 (maximum at most 0.025)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0.0690 to 0.1189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structure, budget</w:t>
            </w:r>
          </w:p>
        </w:tc>
        <w:tc>
          <w:tcPr/>
          <w:p>
            <w:pPr>
              <w:pStyle w:val="Compact"/>
            </w:pPr>
            <w:r>
              <w:t xml:space="preserve">worst of ten activity budgets against real held-out diaries</w:t>
            </w:r>
          </w:p>
        </w:tc>
        <w:tc>
          <w:tcPr/>
          <w:p>
            <w:pPr>
              <w:pStyle w:val="Compact"/>
            </w:pPr>
            <w:r>
              <w:t xml:space="preserve">8.0 min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38.26 to 68.67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 rate</w:t>
            </w:r>
          </w:p>
        </w:tc>
        <w:tc>
          <w:tcPr/>
          <w:p>
            <w:pPr>
              <w:pStyle w:val="Compact"/>
            </w:pPr>
            <w:r>
              <w:t xml:space="preserve">absolute error in mean transitions per diary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Markov comparator PASSES at an error of 0.264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 discrimination</w:t>
            </w:r>
          </w:p>
        </w:tc>
        <w:tc>
          <w:tcPr/>
          <w:p>
            <w:pPr>
              <w:pStyle w:val="Compact"/>
            </w:pPr>
            <w:r>
              <w:t xml:space="preserve">nearer its own published table than any other, by margin</w:t>
            </w:r>
          </w:p>
        </w:tc>
        <w:tc>
          <w:tcPr/>
          <w:p>
            <w:pPr>
              <w:pStyle w:val="Compact"/>
            </w:pPr>
            <w:r>
              <w:t xml:space="preserve">relative margin above 0.5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9 of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Hour-support constancy</w:t>
            </w:r>
          </w:p>
        </w:tc>
        <w:tc>
          <w:tcPr/>
          <w:p>
            <w:pPr>
              <w:pStyle w:val="Compact"/>
            </w:pPr>
            <w:r>
              <w:t xml:space="preserve">completeness invariant of the binning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built and self-tested; never scored on model output (S12)</w:t>
            </w:r>
          </w:p>
        </w:tc>
      </w:tr>
    </w:tbl>
    <w:bookmarkEnd w:id="43"/>
    <w:bookmarkStart w:id="44" w:name="s1.5-privacy"/>
    <w:p>
      <w:pPr>
        <w:pStyle w:val="Heading3"/>
      </w:pPr>
      <w:r>
        <w:t xml:space="preserve">S1.5 Privacy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What it scores</w:t>
            </w:r>
          </w:p>
        </w:tc>
        <w:tc>
          <w:tcPr/>
          <w:p>
            <w:pPr>
              <w:pStyle w:val="Compact"/>
            </w:pPr>
            <w: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Prov.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Loss-based membership inference</w:t>
            </w:r>
          </w:p>
        </w:tc>
        <w:tc>
          <w:tcPr/>
          <w:p>
            <w:pPr>
              <w:pStyle w:val="Compact"/>
            </w:pPr>
            <w:r>
              <w:t xml:space="preserve">area under the curve, 2,000 per class; true-positive rate at 0.1 per cent false-positive rate</w:t>
            </w:r>
          </w:p>
        </w:tc>
        <w:tc>
          <w:tcPr/>
          <w:p>
            <w:pPr>
              <w:pStyle w:val="Compact"/>
            </w:pPr>
            <w:r>
              <w:t xml:space="preserve">AUC at most 0.65; TPR at most 5 per cent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FAIL, 0.6645</w:t>
            </w:r>
            <w:r>
              <w:t xml:space="preserve">, base floor 0.4886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Reference-based membership inference</w:t>
            </w:r>
          </w:p>
        </w:tc>
        <w:tc>
          <w:tcPr/>
          <w:p>
            <w:pPr>
              <w:pStyle w:val="Compact"/>
            </w:pPr>
            <w:r>
              <w:t xml:space="preserve">against the untuned public base</w:t>
            </w:r>
          </w:p>
        </w:tc>
        <w:tc>
          <w:tcPr/>
          <w:p>
            <w:pPr>
              <w:pStyle w:val="Compact"/>
            </w:pPr>
            <w:r>
              <w:t xml:space="preserve">at most 0.75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PASS, 0.5594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Prefix-prompted extraction</w:t>
            </w:r>
          </w:p>
        </w:tc>
        <w:tc>
          <w:tcPr/>
          <w:p>
            <w:pPr>
              <w:pStyle w:val="Compact"/>
            </w:pPr>
            <w:r>
              <w:t xml:space="preserve">exact matches on strata with fewer than five records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PASS, 0 of 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 to closest record</w:t>
            </w:r>
          </w:p>
        </w:tc>
        <w:tc>
          <w:tcPr/>
          <w:p>
            <w:pPr>
              <w:pStyle w:val="Compact"/>
            </w:pPr>
            <w:r>
              <w:t xml:space="preserve">released synthetic set against training records</w:t>
            </w:r>
          </w:p>
        </w:tc>
        <w:tc>
          <w:tcPr/>
          <w:p>
            <w:pPr>
              <w:pStyle w:val="Compact"/>
            </w:pPr>
            <w:r>
              <w:t xml:space="preserve">see S7.4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PASS Spain, PASS Italy,</w:t>
            </w:r>
            <w:r>
              <w:t xml:space="preserve"> </w:t>
            </w:r>
            <w:r>
              <w:rPr>
                <w:b/>
                <w:bCs/>
              </w:rPr>
              <w:t xml:space="preserve">FAIL 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 gap</w:t>
            </w:r>
          </w:p>
        </w:tc>
        <w:tc>
          <w:tcPr/>
          <w:p>
            <w:pPr>
              <w:pStyle w:val="Compact"/>
            </w:pPr>
            <w:r>
              <w:t xml:space="preserve">control, not independent</w:t>
            </w:r>
          </w:p>
        </w:tc>
        <w:tc>
          <w:tcPr/>
          <w:p>
            <w:pPr>
              <w:pStyle w:val="Compact"/>
            </w:pPr>
            <w:r>
              <w:t xml:space="preserve">at most 0.05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FAIL, 0.0570; also 0.0511 on a permuted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Memorisation ceiling</w:t>
            </w:r>
          </w:p>
        </w:tc>
        <w:tc>
          <w:tcPr/>
          <w:p>
            <w:pPr>
              <w:pStyle w:val="Compact"/>
            </w:pPr>
            <w:r>
              <w:t xml:space="preserve">random-label-permutation control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INCONCLUSIVE AS A CEILING</w:t>
            </w:r>
            <w:r>
              <w:t xml:space="preserve">, 0.6496</w:t>
            </w:r>
          </w:p>
        </w:tc>
      </w:tr>
    </w:tbl>
    <w:p>
      <w:pPr>
        <w:pStyle w:val="BodyText"/>
      </w:pPr>
      <w:r>
        <w:t xml:space="preserve">Two registered privacy checks are not met and one is partial, so this set is not a passing audit.</w:t>
      </w:r>
    </w:p>
    <w:bookmarkEnd w:id="44"/>
    <w:bookmarkStart w:id="45" w:name="Xb87f19c89b8ff0c3c9ef52079bf9e6db8556a09"/>
    <w:p>
      <w:pPr>
        <w:pStyle w:val="Heading3"/>
      </w:pPr>
      <w:r>
        <w:t xml:space="preserve">S1.6 Four training checks that miss their tolerance for reasons that are not about the model</w:t>
      </w:r>
    </w:p>
    <w:p>
      <w:pPr>
        <w:pStyle w:val="FirstParagraph"/>
      </w:pPr>
      <w:r>
        <w:t xml:space="preserve">Four training-stage checks never pass in this study. Each was traced to its own instrument. The</w:t>
      </w:r>
      <w:r>
        <w:t xml:space="preserve"> </w:t>
      </w:r>
      <w:r>
        <w:t xml:space="preserve">distinction supports the main text’s reading that the model conditions and still loses.</w:t>
      </w:r>
    </w:p>
    <w:p>
      <w:pPr>
        <w:pStyle w:val="BodyText"/>
      </w:pPr>
      <w:r>
        <w:rPr>
          <w:b/>
          <w:bCs/>
        </w:rPr>
        <w:t xml:space="preserve">The variance-ratio tolerance is narrower than its own noise floor in two folds.</w:t>
      </w:r>
      <w:r>
        <w:t xml:space="preserve"> </w:t>
      </w:r>
      <w:r>
        <w:t xml:space="preserve">A probe on frozen</w:t>
      </w:r>
      <w:r>
        <w:t xml:space="preserve"> </w:t>
      </w:r>
      <w:r>
        <w:t xml:space="preserve">weights over five seeds per fold returns a seed-alone spread of 0.529 in Spain, 0.658 in the UK and 0.385</w:t>
      </w:r>
      <w:r>
        <w:t xml:space="preserve"> </w:t>
      </w:r>
      <w:r>
        <w:t xml:space="preserve">in Italy. The acceptance band is 0.45 wide in total. The spread is wider than the band in Spain and the UK</w:t>
      </w:r>
      <w:r>
        <w:t xml:space="preserve"> </w:t>
      </w:r>
      <w:r>
        <w:t xml:space="preserve">and narrower in Italy. In Spain and the UK the check therefore cannot separate a model effect from seed</w:t>
      </w:r>
      <w:r>
        <w:t xml:space="preserve"> </w:t>
      </w:r>
      <w:r>
        <w:t xml:space="preserve">noise at the sample size it runs at, and it is marked resolution-limited. One apparent pass on one fold</w:t>
      </w:r>
      <w:r>
        <w:t xml:space="preserve"> </w:t>
      </w:r>
      <w:r>
        <w:t xml:space="preserve">was a one-in-five-seed artefact and was not kept.</w:t>
      </w:r>
    </w:p>
    <w:p>
      <w:pPr>
        <w:pStyle w:val="BodyText"/>
      </w:pPr>
      <w:r>
        <w:rPr>
          <w:b/>
          <w:bCs/>
        </w:rPr>
        <w:t xml:space="preserve">The cross-entropy-rise bar has no recorded provenance.</w:t>
      </w:r>
      <w:r>
        <w:t xml:space="preserve"> </w:t>
      </w:r>
      <w:r>
        <w:t xml:space="preserve">It is the only threshold in its group with none.</w:t>
      </w:r>
      <w:r>
        <w:t xml:space="preserve"> </w:t>
      </w:r>
      <w:r>
        <w:t xml:space="preserve">The measured rise is 0.068 to 0.106 nats per token, and its sign is correct in every run. The fine-tune</w:t>
      </w:r>
      <w:r>
        <w:t xml:space="preserve"> </w:t>
      </w:r>
      <w:r>
        <w:t xml:space="preserve">bought between 84 and 1,062 times the untrained baseline’s conditioning response (same-run pairs). The</w:t>
      </w:r>
      <w:r>
        <w:t xml:space="preserve"> </w:t>
      </w:r>
      <w:r>
        <w:t xml:space="preserve">check does not clear a bar that nothing justifies.</w:t>
      </w:r>
    </w:p>
    <w:p>
      <w:pPr>
        <w:pStyle w:val="BodyText"/>
      </w:pPr>
      <w:r>
        <w:rPr>
          <w:b/>
          <w:bCs/>
        </w:rPr>
        <w:t xml:space="preserve">The merge-drift tolerance can be met only by an adapter that learned nothing.</w:t>
      </w:r>
      <w:r>
        <w:t xml:space="preserve"> </w:t>
      </w:r>
      <w:r>
        <w:t xml:space="preserve">Scaling the adapter down</w:t>
      </w:r>
      <w:r>
        <w:t xml:space="preserve"> </w:t>
      </w:r>
      <w:r>
        <w:t xml:space="preserve">by a factor of 1,000 does not bring the drift inside the tolerance; it plateaus an order of magnitude above</w:t>
      </w:r>
      <w:r>
        <w:t xml:space="preserve"> </w:t>
      </w:r>
      <w:r>
        <w:t xml:space="preserve">it, and only a zero-scale adapter passes. The drift is behaviourally real rather than numerical noise. In</w:t>
      </w:r>
      <w:r>
        <w:t xml:space="preserve"> </w:t>
      </w:r>
      <w:r>
        <w:t xml:space="preserve">the shipping precision, merged and unmerged adapters produce different diaries in 39 to 46 of 48 cases,</w:t>
      </w:r>
      <w:r>
        <w:t xml:space="preserve"> </w:t>
      </w:r>
      <w:r>
        <w:t xml:space="preserve">81 to 96 per cent, while the unmerged-against-unmerged control is clean in 48 of 48 in every fold.</w:t>
      </w:r>
    </w:p>
    <w:p>
      <w:pPr>
        <w:pStyle w:val="BodyText"/>
      </w:pPr>
      <w:r>
        <w:rPr>
          <w:b/>
          <w:bCs/>
        </w:rPr>
        <w:t xml:space="preserve">One check was never adjudicated.</w:t>
      </w:r>
      <w:r>
        <w:t xml:space="preserve"> </w:t>
      </w:r>
      <w:r>
        <w:t xml:space="preserve">Its shuffle key omits one of the six prefix fields, so it can change at</w:t>
      </w:r>
      <w:r>
        <w:t xml:space="preserve"> </w:t>
      </w:r>
      <w:r>
        <w:t xml:space="preserve">most one field, and for 55 to 64 per cent of diaries it changes nothing at all. It is nevertheless required</w:t>
      </w:r>
      <w:r>
        <w:t xml:space="preserve"> </w:t>
      </w:r>
      <w:r>
        <w:t xml:space="preserve">to move cross-entropy as much as a full permutation would. Its measured rise is 0.002 to 0.0069. It carries</w:t>
      </w:r>
      <w:r>
        <w:t xml:space="preserve"> </w:t>
      </w:r>
      <w:r>
        <w:t xml:space="preserve">no decision record (S12).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2.-model-card"/>
    <w:p>
      <w:pPr>
        <w:pStyle w:val="Heading2"/>
      </w:pPr>
      <w:r>
        <w:t xml:space="preserve">S2. Model card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Backbone, main model</w:t>
            </w:r>
          </w:p>
        </w:tc>
        <w:tc>
          <w:tcPr/>
          <w:p>
            <w:pPr>
              <w:pStyle w:val="Compact"/>
            </w:pPr>
            <w:r>
              <w:t xml:space="preserve">OLMo 3 7B,</w:t>
            </w:r>
            <w:r>
              <w:t xml:space="preserve"> </w:t>
            </w:r>
            <w:r>
              <w:rPr>
                <w:rStyle w:val="VerbatimChar"/>
              </w:rPr>
              <w:t xml:space="preserve">allenai/Olmo-3-1025-7B</w:t>
            </w:r>
            <w:r>
              <w:t xml:space="preserve">, revision</w:t>
            </w:r>
            <w:r>
              <w:t xml:space="preserve"> </w:t>
            </w:r>
            <w:r>
              <w:rPr>
                <w:rStyle w:val="VerbatimChar"/>
              </w:rPr>
              <w:t xml:space="preserve">a81bae42db3975be1671e27b9c9a56da1a9f980f</w:t>
            </w:r>
            <w:r>
              <w:t xml:space="preserve">, 7.30 B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Backbone, smaller model</w:t>
            </w:r>
          </w:p>
        </w:tc>
        <w:tc>
          <w:tcPr/>
          <w:p>
            <w:pPr>
              <w:pStyle w:val="Compact"/>
            </w:pPr>
            <w:r>
              <w:t xml:space="preserve">OLMo 2 1B,</w:t>
            </w:r>
            <w:r>
              <w:t xml:space="preserve"> </w:t>
            </w:r>
            <w:r>
              <w:rPr>
                <w:rStyle w:val="VerbatimChar"/>
              </w:rPr>
              <w:t xml:space="preserve">allenai/OLMo-2-0425-1B</w:t>
            </w:r>
            <w:r>
              <w:t xml:space="preserve">, revision</w:t>
            </w:r>
            <w:r>
              <w:t xml:space="preserve"> </w:t>
            </w:r>
            <w:r>
              <w:rPr>
                <w:rStyle w:val="VerbatimChar"/>
              </w:rPr>
              <w:t xml:space="preserve">a1847dff35000b4271fa70afc5db10fd29fedbdf</w:t>
            </w:r>
            <w:r>
              <w:t xml:space="preserve">, 1.48 B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Backbone, second family</w:t>
            </w:r>
          </w:p>
        </w:tc>
        <w:tc>
          <w:tcPr/>
          <w:p>
            <w:pPr>
              <w:pStyle w:val="Compact"/>
            </w:pPr>
            <w:r>
              <w:t xml:space="preserve">Qwen2.5-7B,</w:t>
            </w:r>
            <w:r>
              <w:t xml:space="preserve"> </w:t>
            </w:r>
            <w:r>
              <w:rPr>
                <w:rStyle w:val="VerbatimChar"/>
              </w:rPr>
              <w:t xml:space="preserve">Qwen/Qwen2.5-7B</w:t>
            </w:r>
            <w:r>
              <w:t xml:space="preserve">, revision</w:t>
            </w:r>
            <w:r>
              <w:t xml:space="preserve"> </w:t>
            </w:r>
            <w:r>
              <w:rPr>
                <w:rStyle w:val="VerbatimChar"/>
              </w:rPr>
              <w:t xml:space="preserve">d149729398750b98c0af14eb82c78cfe92750796</w:t>
            </w:r>
            <w:r>
              <w:t xml:space="preserve">, Spanish fold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Adaptation</w:t>
            </w:r>
          </w:p>
        </w:tc>
        <w:tc>
          <w:tcPr/>
          <w:p>
            <w:pPr>
              <w:pStyle w:val="Compact"/>
            </w:pPr>
            <w:r>
              <w:t xml:space="preserve">low-rank adapter, rank 32, scaling 64, dropout 0.05, rank-stabilised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modules</w:t>
            </w:r>
          </w:p>
        </w:tc>
        <w:tc>
          <w:tcPr/>
          <w:p>
            <w:pPr>
              <w:pStyle w:val="Compact"/>
            </w:pPr>
            <w:r>
              <w:t xml:space="preserve">all seven linear projections per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Trainable parameters</w:t>
            </w:r>
          </w:p>
        </w:tc>
        <w:tc>
          <w:tcPr/>
          <w:p>
            <w:pPr>
              <w:pStyle w:val="Compact"/>
            </w:pPr>
            <w:r>
              <w:t xml:space="preserve">79,953,920 (1.0837 per cent of 7,377,965,056)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fine-tune control</w:t>
            </w:r>
          </w:p>
        </w:tc>
        <w:tc>
          <w:tcPr/>
          <w:p>
            <w:pPr>
              <w:pStyle w:val="Compact"/>
            </w:pPr>
            <w:r>
              <w:t xml:space="preserve">all 7,377,965,056 parameters, Spanish fold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next-token cross-entropy, completion-only masking, unweighted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 / gradient accumulation</w:t>
            </w:r>
          </w:p>
        </w:tc>
        <w:tc>
          <w:tcPr/>
          <w:p>
            <w:pPr>
              <w:pStyle w:val="Compact"/>
            </w:pPr>
            <w:r>
              <w:t xml:space="preserve">2 /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1e-4, constant, no warmup or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Optimiser</w:t>
            </w:r>
          </w:p>
        </w:tc>
        <w:tc>
          <w:tcPr/>
          <w:p>
            <w:pPr>
              <w:pStyle w:val="Compact"/>
            </w:pPr>
            <w:r>
              <w:t xml:space="preserve">AdamW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bfloat16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sequence length</w:t>
            </w:r>
          </w:p>
        </w:tc>
        <w:tc>
          <w:tcPr/>
          <w:p>
            <w:pPr>
              <w:pStyle w:val="Compact"/>
            </w:pPr>
            <w:r>
              <w:t xml:space="preserve">1,280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one fixed seed per trained model; no multi-seed training replication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one A100 GPU 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 time, OLMo 3 7B</w:t>
            </w:r>
          </w:p>
        </w:tc>
        <w:tc>
          <w:tcPr/>
          <w:p>
            <w:pPr>
              <w:pStyle w:val="Compact"/>
            </w:pPr>
            <w:r>
              <w:t xml:space="preserve">Spain 11:00 h, UK 10:05 h, Italy 7:28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selection</w:t>
            </w:r>
          </w:p>
        </w:tc>
        <w:tc>
          <w:tcPr/>
          <w:p>
            <w:pPr>
              <w:pStyle w:val="Compact"/>
            </w:pPr>
            <w:r>
              <w:t xml:space="preserve">none; the final checkpoint of the last epoch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Tokeniser</w:t>
            </w:r>
          </w:p>
        </w:tc>
        <w:tc>
          <w:tcPr/>
          <w:p>
            <w:pPr>
              <w:pStyle w:val="Compact"/>
            </w:pPr>
            <w:r>
              <w:t xml:space="preserve">the backbone’s own vocabulary, no tokens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Decoding</w:t>
            </w:r>
          </w:p>
        </w:tc>
        <w:tc>
          <w:tcPr/>
          <w:p>
            <w:pPr>
              <w:pStyle w:val="Compact"/>
            </w:pPr>
            <w:r>
              <w:t xml:space="preserve">grammar-constrained; temperature 1.30 / 1.10 / 1.20 (Spain / UK / Italy); nucleus sampling disabled</w:t>
            </w:r>
          </w:p>
        </w:tc>
      </w:tr>
    </w:tbl>
    <w:p>
      <w:pPr>
        <w:pStyle w:val="BodyText"/>
      </w:pPr>
      <w:r>
        <w:t xml:space="preserve">No learning-rate schedule or warmup is applied; this is what the training code does, and no design</w:t>
      </w:r>
      <w:r>
        <w:t xml:space="preserve"> </w:t>
      </w:r>
      <w:r>
        <w:t xml:space="preserve">record chose it.</w:t>
      </w:r>
    </w:p>
    <w:p>
      <w:r>
        <w:pict>
          <v:rect style="width:0;height:1.5pt" o:hralign="center" o:hrstd="t" o:hr="t"/>
        </w:pict>
      </w:r>
    </w:p>
    <w:bookmarkEnd w:id="47"/>
    <w:bookmarkStart w:id="48" w:name="X7cbe466906d3108b0f10669e3076c69a579b3a1"/>
    <w:p>
      <w:pPr>
        <w:pStyle w:val="Heading2"/>
      </w:pPr>
      <w:r>
        <w:t xml:space="preserve">S3. The conditioning prefix and its census sources</w:t>
      </w:r>
    </w:p>
    <w:p>
      <w:pPr>
        <w:pStyle w:val="FirstParagraph"/>
      </w:pPr>
      <w:r>
        <w:t xml:space="preserve">Six fields, frozen before training, reduced from an original nine.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Source of the marginal used to build the synthetic population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band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national census age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national census sex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household type</w:t>
            </w:r>
          </w:p>
        </w:tc>
        <w:tc>
          <w:tcPr/>
          <w:p>
            <w:pPr>
              <w:pStyle w:val="Compact"/>
            </w:pPr>
            <w:r>
              <w:t xml:space="preserve">6 in the alphabet, 5 raked</w:t>
            </w:r>
          </w:p>
        </w:tc>
        <w:tc>
          <w:tcPr/>
          <w:p>
            <w:pPr>
              <w:pStyle w:val="Compact"/>
            </w:pPr>
            <w:r>
              <w:t xml:space="preserve">national census household table; the European census hub for Italy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status</w:t>
            </w:r>
          </w:p>
        </w:tc>
        <w:tc>
          <w:tcPr/>
          <w:p>
            <w:pPr>
              <w:pStyle w:val="Compact"/>
            </w:pPr>
            <w:r>
              <w:t xml:space="preserve">7 in the alphabet,</w:t>
            </w:r>
            <w:r>
              <w:t xml:space="preserve"> </w:t>
            </w:r>
            <w:r>
              <w:rPr>
                <w:b/>
                <w:bCs/>
              </w:rPr>
              <w:t xml:space="preserve">5 raked for Spain</w:t>
            </w:r>
          </w:p>
        </w:tc>
        <w:tc>
          <w:tcPr/>
          <w:p>
            <w:pPr>
              <w:pStyle w:val="Compact"/>
            </w:pPr>
            <w:r>
              <w:t xml:space="preserve">national census economic-activity table; on-demand microdata for Spain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type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published marginal in any country; assigned at 5/7, 1/7, 1/7</w:t>
            </w:r>
          </w:p>
        </w:tc>
      </w:tr>
    </w:tbl>
    <w:p>
      <w:pPr>
        <w:pStyle w:val="BodyText"/>
      </w:pPr>
      <w:r>
        <w:t xml:space="preserve">The marginal sources are the census dissemination service for the UK, the 2011 census releases for</w:t>
      </w:r>
      <w:r>
        <w:t xml:space="preserve"> </w:t>
      </w:r>
      <w:r>
        <w:t xml:space="preserve">Spain, and, for Italy, a combination of the national census tract release and the European census hub,</w:t>
      </w:r>
      <w:r>
        <w:t xml:space="preserve"> </w:t>
      </w:r>
      <w:r>
        <w:t xml:space="preserve">because the Italian tract file publishes no household-type table. Iterative proportional fitting runs over</w:t>
      </w:r>
      <w:r>
        <w:t xml:space="preserve"> </w:t>
      </w:r>
      <w:r>
        <w:t xml:space="preserve">the four-way joint of age, sex, household type and economic status, starting from a uniform seed over the</w:t>
      </w:r>
      <w:r>
        <w:t xml:space="preserve"> </w:t>
      </w:r>
      <w:r>
        <w:t xml:space="preserve">admissible cells; a donor-seeded table was declared as a sensitivity only. The raked donor baseline is</w:t>
      </w:r>
      <w:r>
        <w:t xml:space="preserve"> </w:t>
      </w:r>
      <w:r>
        <w:t xml:space="preserve">raked onto the shares of this synthetic population on five variables, including day type at the</w:t>
      </w:r>
      <w:r>
        <w:t xml:space="preserve"> </w:t>
      </w:r>
      <w:r>
        <w:t xml:space="preserve">calendar-week shares. Expansion to 100,000 persons per</w:t>
      </w:r>
      <w:r>
        <w:t xml:space="preserve"> </w:t>
      </w:r>
      <w:r>
        <w:t xml:space="preserve">country is by deterministic largest-remainder integerisation, so the synthetic population carries no</w:t>
      </w:r>
      <w:r>
        <w:t xml:space="preserve"> </w:t>
      </w:r>
      <w:r>
        <w:t xml:space="preserve">sampling seed. The output is a person-level table; households are not assembled.</w:t>
      </w:r>
    </w:p>
    <w:p>
      <w:r>
        <w:pict>
          <v:rect style="width:0;height:1.5pt" o:hralign="center" o:hrstd="t" o:hr="t"/>
        </w:pict>
      </w:r>
    </w:p>
    <w:bookmarkEnd w:id="48"/>
    <w:bookmarkStart w:id="49" w:name="s4.-campaign-sizes"/>
    <w:p>
      <w:pPr>
        <w:pStyle w:val="Heading2"/>
      </w:pPr>
      <w:r>
        <w:t xml:space="preserve">S4. Campaign sizes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Campaign</w:t>
            </w:r>
          </w:p>
        </w:tc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Generation, per fold</w:t>
            </w:r>
          </w:p>
        </w:tc>
        <w:tc>
          <w:tcPr/>
          <w:p>
            <w:pPr>
              <w:pStyle w:val="Compact"/>
            </w:pPr>
            <w:r>
              <w:t xml:space="preserve">5,200 constrained + 5,200 unconstrained</w:t>
            </w:r>
          </w:p>
        </w:tc>
        <w:tc>
          <w:tcPr/>
          <w:p>
            <w:pPr>
              <w:pStyle w:val="Compact"/>
            </w:pPr>
            <w:r>
              <w:t xml:space="preserve">10,400 per 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Held-in regression</w:t>
            </w:r>
          </w:p>
        </w:tc>
        <w:tc>
          <w:tcPr/>
          <w:p>
            <w:pPr>
              <w:pStyle w:val="Compact"/>
            </w:pPr>
            <w:r>
              <w:t xml:space="preserve">600 x 6 configurations</w:t>
            </w:r>
          </w:p>
        </w:tc>
        <w:tc>
          <w:tcPr/>
          <w:p>
            <w:pPr>
              <w:pStyle w:val="Compact"/>
            </w:pPr>
            <w:r>
              <w:t xml:space="preserve">3,600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Fictional-country control</w:t>
            </w:r>
          </w:p>
        </w:tc>
        <w:tc>
          <w:tcPr/>
          <w:p>
            <w:pPr>
              <w:pStyle w:val="Compact"/>
            </w:pPr>
            <w:r>
              <w:t xml:space="preserve">600 x 5 levels x 3 folds</w:t>
            </w:r>
          </w:p>
        </w:tc>
        <w:tc>
          <w:tcPr/>
          <w:p>
            <w:pPr>
              <w:pStyle w:val="Compact"/>
            </w:pPr>
            <w:r>
              <w:t xml:space="preserve">9,000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Archetype simulation</w:t>
            </w:r>
          </w:p>
        </w:tc>
        <w:tc>
          <w:tcPr/>
          <w:p>
            <w:pPr>
              <w:pStyle w:val="Compact"/>
            </w:pPr>
            <w:r>
              <w:t xml:space="preserve">88 archetypes x (1 control + 4 levels x 10 diaries) + 440 re-runs</w:t>
            </w:r>
          </w:p>
        </w:tc>
        <w:tc>
          <w:tcPr/>
          <w:p>
            <w:pPr>
              <w:pStyle w:val="Compact"/>
            </w:pPr>
            <w:r>
              <w:t xml:space="preserve">4,048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Day-chaining experiment</w:t>
            </w:r>
          </w:p>
        </w:tc>
        <w:tc>
          <w:tcPr/>
          <w:p>
            <w:pPr>
              <w:pStyle w:val="Compact"/>
            </w:pPr>
            <w:r>
              <w:t xml:space="preserve">3 folds x 6 rule points x 5 seeds x 100 dwellings</w:t>
            </w:r>
          </w:p>
        </w:tc>
        <w:tc>
          <w:tcPr/>
          <w:p>
            <w:pPr>
              <w:pStyle w:val="Compact"/>
            </w:pPr>
            <w:r>
              <w:t xml:space="preserve">9,000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probe</w:t>
            </w:r>
          </w:p>
        </w:tc>
        <w:tc>
          <w:tcPr/>
          <w:p>
            <w:pPr>
              <w:pStyle w:val="Compact"/>
            </w:pPr>
            <w:r>
              <w:t xml:space="preserve">3 folds x (10 + 10)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Archetype campaign total</w:t>
            </w:r>
          </w:p>
        </w:tc>
        <w:tc>
          <w:tcPr/>
          <w:p>
            <w:pPr>
              <w:pStyle w:val="Compact"/>
            </w:pPr>
            <w:r>
              <w:t xml:space="preserve">executed twice, see S8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13,108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stock, heating campaign</w:t>
            </w:r>
          </w:p>
        </w:tc>
        <w:tc>
          <w:tcPr/>
          <w:p>
            <w:pPr>
              <w:pStyle w:val="Compact"/>
            </w:pPr>
            <w:r>
              <w:t xml:space="preserve">completed cells: Madrid 11,340 / Bologna 11,680 / London 12,070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35,090 cells</w:t>
            </w:r>
            <w:r>
              <w:t xml:space="preserve">; 3,529 buildings, 31,591 dwellings; not used in the paper (S9)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stock, earlier layout</w:t>
            </w:r>
          </w:p>
        </w:tc>
        <w:tc>
          <w:tcPr/>
          <w:p>
            <w:pPr>
              <w:pStyle w:val="Compact"/>
            </w:pPr>
            <w:r>
              <w:t xml:space="preserve">earlier subdivision layout, method record</w:t>
            </w:r>
          </w:p>
        </w:tc>
        <w:tc>
          <w:tcPr/>
          <w:p>
            <w:pPr>
              <w:pStyle w:val="Compact"/>
            </w:pPr>
            <w:r>
              <w:t xml:space="preserve">410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Stock-scale end use</w:t>
            </w:r>
          </w:p>
        </w:tc>
        <w:tc>
          <w:tcPr/>
          <w:p>
            <w:pPr>
              <w:pStyle w:val="Compact"/>
            </w:pPr>
            <w:r>
              <w:t xml:space="preserve">London 7,602 flats in 1,200 buildings; Bologna 29,902 flats in 1,126 buildings</w:t>
            </w:r>
          </w:p>
        </w:tc>
        <w:tc>
          <w:tcPr/>
          <w:p>
            <w:pPr>
              <w:pStyle w:val="Compact"/>
            </w:pPr>
            <w:r>
              <w:t xml:space="preserve">2 folds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Appliance timing by diary source</w:t>
            </w:r>
          </w:p>
        </w:tc>
        <w:tc>
          <w:tcPr/>
          <w:p>
            <w:pPr>
              <w:pStyle w:val="Compact"/>
            </w:pPr>
            <w:r>
              <w:t xml:space="preserve">3 folds x 3 diary sources (generated, real, raked donor), 100 dwellings, one year</w:t>
            </w:r>
          </w:p>
        </w:tc>
        <w:tc>
          <w:tcPr/>
          <w:p>
            <w:pPr>
              <w:pStyle w:val="Compact"/>
            </w:pPr>
            <w:r>
              <w:t xml:space="preserve">9 runs</w:t>
            </w:r>
          </w:p>
        </w:tc>
      </w:tr>
    </w:tbl>
    <w:p>
      <w:pPr>
        <w:pStyle w:val="BodyText"/>
      </w:pPr>
      <w:r>
        <w:t xml:space="preserve">The count of 5,200 unconstrained diaries per fold was verified when that batch was generated. The</w:t>
      </w:r>
      <w:r>
        <w:t xml:space="preserve"> </w:t>
      </w:r>
      <w:r>
        <w:t xml:space="preserve">unconstrained files on disk were later replaced by a larger batch drawn for a different check, so the</w:t>
      </w:r>
      <w:r>
        <w:t xml:space="preserve"> </w:t>
      </w:r>
      <w:r>
        <w:t xml:space="preserve">decoding-neutrality comparison of the main text refers to the batch as generated.</w:t>
      </w:r>
    </w:p>
    <w:p>
      <w:r>
        <w:pict>
          <v:rect style="width:0;height:1.5pt" o:hralign="center" o:hrstd="t" o:hr="t"/>
        </w:pict>
      </w:r>
    </w:p>
    <w:bookmarkEnd w:id="49"/>
    <w:bookmarkStart w:id="50" w:name="s5.-survey-details"/>
    <w:p>
      <w:pPr>
        <w:pStyle w:val="Heading2"/>
      </w:pPr>
      <w:r>
        <w:t xml:space="preserve">S5. Survey details</w:t>
      </w:r>
    </w:p>
    <w:p>
      <w:pPr>
        <w:pStyle w:val="FirstParagraph"/>
      </w:pPr>
      <w:r>
        <w:rPr>
          <w:b/>
          <w:bCs/>
        </w:rPr>
        <w:t xml:space="preserve">Table S1.</w:t>
      </w:r>
      <w:r>
        <w:t xml:space="preserve"> </w:t>
      </w:r>
      <w:r>
        <w:t xml:space="preserve">- The three national time-use surveys as delivered.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</w:pPr>
            <w:r>
              <w:t xml:space="preserve">Italy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INE</w:t>
            </w:r>
            <w:r>
              <w:t xml:space="preserve"> </w:t>
            </w:r>
            <w:r>
              <w:rPr>
                <w:i/>
                <w:iCs/>
              </w:rPr>
              <w:t xml:space="preserve">Encuesta de Empleo del Tiempo</w:t>
            </w:r>
          </w:p>
        </w:tc>
        <w:tc>
          <w:tcPr/>
          <w:p>
            <w:pPr>
              <w:pStyle w:val="Compact"/>
            </w:pPr>
            <w:r>
              <w:t xml:space="preserve">UK Time Use Survey (UKTUS), UK Data Service SN 8128</w:t>
            </w:r>
          </w:p>
        </w:tc>
        <w:tc>
          <w:tcPr/>
          <w:p>
            <w:pPr>
              <w:pStyle w:val="Compact"/>
            </w:pPr>
            <w:r>
              <w:t xml:space="preserve">ISTAT</w:t>
            </w:r>
            <w:r>
              <w:t xml:space="preserve"> </w:t>
            </w:r>
            <w:r>
              <w:rPr>
                <w:i/>
                <w:iCs/>
              </w:rPr>
              <w:t xml:space="preserve">Uso del Tempo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2009-10</w:t>
            </w:r>
          </w:p>
        </w:tc>
        <w:tc>
          <w:tcPr/>
          <w:p>
            <w:pPr>
              <w:pStyle w:val="Compact"/>
            </w:pPr>
            <w:r>
              <w:t xml:space="preserve">2014-15</w:t>
            </w:r>
          </w:p>
        </w:tc>
        <w:tc>
          <w:tcPr/>
          <w:p>
            <w:pPr>
              <w:pStyle w:val="Compact"/>
            </w:pPr>
            <w:r>
              <w:t xml:space="preserve">2013-14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Delivered form</w:t>
            </w:r>
          </w:p>
        </w:tc>
        <w:tc>
          <w:tcPr/>
          <w:p>
            <w:pPr>
              <w:pStyle w:val="Compact"/>
            </w:pPr>
            <w:r>
              <w:t xml:space="preserve">144 fixed 10-minute slots</w:t>
            </w:r>
          </w:p>
        </w:tc>
        <w:tc>
          <w:tcPr/>
          <w:p>
            <w:pPr>
              <w:pStyle w:val="Compact"/>
            </w:pPr>
            <w:r>
              <w:t xml:space="preserve">native episodes</w:t>
            </w:r>
          </w:p>
        </w:tc>
        <w:tc>
          <w:tcPr/>
          <w:p>
            <w:pPr>
              <w:pStyle w:val="Compact"/>
            </w:pPr>
            <w:r>
              <w:t xml:space="preserve">native episodes, explicit clock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Diaries</w:t>
            </w:r>
          </w:p>
        </w:tc>
        <w:tc>
          <w:tcPr/>
          <w:p>
            <w:pPr>
              <w:pStyle w:val="Compact"/>
            </w:pPr>
            <w:r>
              <w:t xml:space="preserve">19,295</w:t>
            </w:r>
          </w:p>
        </w:tc>
        <w:tc>
          <w:tcPr/>
          <w:p>
            <w:pPr>
              <w:pStyle w:val="Compact"/>
            </w:pPr>
            <w:r>
              <w:t xml:space="preserve">16,533</w:t>
            </w:r>
          </w:p>
        </w:tc>
        <w:tc>
          <w:tcPr/>
          <w:p>
            <w:pPr>
              <w:pStyle w:val="Compact"/>
            </w:pPr>
            <w:r>
              <w:t xml:space="preserve">41,229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Episodes as delivered</w:t>
            </w:r>
          </w:p>
        </w:tc>
        <w:tc>
          <w:tcPr/>
          <w:p>
            <w:pPr>
              <w:pStyle w:val="Compact"/>
            </w:pPr>
            <w:r>
              <w:t xml:space="preserve">430,754</w:t>
            </w:r>
          </w:p>
        </w:tc>
        <w:tc>
          <w:tcPr/>
          <w:p>
            <w:pPr>
              <w:pStyle w:val="Compact"/>
            </w:pPr>
            <w:r>
              <w:t xml:space="preserve">587,632</w:t>
            </w:r>
          </w:p>
        </w:tc>
        <w:tc>
          <w:tcPr/>
          <w:p>
            <w:pPr>
              <w:pStyle w:val="Compact"/>
            </w:pPr>
            <w:r>
              <w:t xml:space="preserve">1,077,657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 days per respondent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2 (8,259 of 8,274 gave both)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age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 (proxy for 3 to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 weight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FACTORF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dia_wt_a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coefi2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convention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t xml:space="preserve">normalised, mean 1.000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target</w:t>
            </w:r>
          </w:p>
        </w:tc>
        <w:tc>
          <w:tcPr/>
          <w:p>
            <w:pPr>
              <w:pStyle w:val="Compact"/>
            </w:pPr>
            <w:r>
              <w:t xml:space="preserve">INE age-by-sex projection, by autonomous community</w:t>
            </w:r>
          </w:p>
        </w:tc>
        <w:tc>
          <w:tcPr/>
          <w:p>
            <w:pPr>
              <w:pStyle w:val="Compact"/>
            </w:pPr>
            <w:r>
              <w:t xml:space="preserve">2014 mid-year estimates, age and sex margins</w:t>
            </w:r>
          </w:p>
        </w:tc>
        <w:tc>
          <w:tcPr/>
          <w:p>
            <w:pPr>
              <w:pStyle w:val="Compact"/>
            </w:pPr>
            <w:r>
              <w:t xml:space="preserve">ISTAT sex by nine age classes, regional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open download, no credential</w:t>
            </w:r>
          </w:p>
        </w:tc>
        <w:tc>
          <w:tcPr/>
          <w:p>
            <w:pPr>
              <w:pStyle w:val="Compact"/>
            </w:pPr>
            <w:r>
              <w:t xml:space="preserve">End User Licence, free registration</w:t>
            </w:r>
          </w:p>
        </w:tc>
        <w:tc>
          <w:tcPr/>
          <w:p>
            <w:pPr>
              <w:pStyle w:val="Compact"/>
            </w:pPr>
            <w:r>
              <w:t xml:space="preserve">ISTAT public-use file</w:t>
            </w:r>
          </w:p>
        </w:tc>
      </w:tr>
    </w:tbl>
    <w:p>
      <w:pPr>
        <w:pStyle w:val="BodyText"/>
      </w:pPr>
      <w:r>
        <w:t xml:space="preserve">Spain’s episodes are reconstructed from its slot grid; the reconstruction is deterministic and is</w:t>
      </w:r>
      <w:r>
        <w:t xml:space="preserve"> </w:t>
      </w:r>
      <w:r>
        <w:t xml:space="preserve">verified against the grid it came from. Spain’s episode boundaries are therefore an inference from a grid,</w:t>
      </w:r>
      <w:r>
        <w:t xml:space="preserve"> </w:t>
      </w:r>
      <w:r>
        <w:t xml:space="preserve">while the other two countries’ are recorded. The Italian corpus contains diaries completed by parents for</w:t>
      </w:r>
      <w:r>
        <w:t xml:space="preserve"> </w:t>
      </w:r>
      <w:r>
        <w:t xml:space="preserve">children aged 3 to 10.</w:t>
      </w:r>
    </w:p>
    <w:p>
      <w:pPr>
        <w:pStyle w:val="BodyText"/>
      </w:pPr>
      <w:r>
        <w:t xml:space="preserve">The three weights are each calibrated to their own national reference, and no two are calibrated to the</w:t>
      </w:r>
      <w:r>
        <w:t xml:space="preserve"> </w:t>
      </w:r>
      <w:r>
        <w:t xml:space="preserve">same table. They also target three different diary-day bases, and only the UK weight represents the</w:t>
      </w:r>
      <w:r>
        <w:t xml:space="preserve"> </w:t>
      </w:r>
      <w:r>
        <w:t xml:space="preserve">calendar week. Left uncorrected, this shifts at-home time by about one percentage point in Spain and Italy</w:t>
      </w:r>
      <w:r>
        <w:t xml:space="preserve"> </w:t>
      </w:r>
      <w:r>
        <w:t xml:space="preserve">and by essentially nothing in the UK. Every diary is reweighted to the calendar week before any statistic</w:t>
      </w:r>
      <w:r>
        <w:t xml:space="preserve"> </w:t>
      </w:r>
      <w:r>
        <w:t xml:space="preserve">is computed. Both the 2008 and the 2018 HETUS guidelines recommend two diary days per respondent, one</w:t>
      </w:r>
      <w:r>
        <w:t xml:space="preserve"> </w:t>
      </w:r>
      <w:r>
        <w:t xml:space="preserve">weekday and one weekend day, and accept a single day while noting that it leaves intra-personal variation</w:t>
      </w:r>
      <w:r>
        <w:t xml:space="preserve"> </w:t>
      </w:r>
      <w:r>
        <w:t xml:space="preserve">unmeasured (Eurostat, 2009, §2.2.1; Eurostat, 2019, §2.2.1). Of the three surveys, only the UK survey</w:t>
      </w:r>
      <w:r>
        <w:t xml:space="preserve"> </w:t>
      </w:r>
      <w:r>
        <w:t xml:space="preserve">follows the two-day recommendation.</w:t>
      </w:r>
    </w:p>
    <w:p>
      <w:pPr>
        <w:pStyle w:val="BodyText"/>
      </w:pPr>
      <w:r>
        <w:t xml:space="preserve">Two delivery properties are recorded as data properties. One UK activity code appears in the data and is</w:t>
      </w:r>
      <w:r>
        <w:t xml:space="preserve"> </w:t>
      </w:r>
      <w:r>
        <w:t xml:space="preserve">labelled nowhere in the delivery. The Italian file carries no per-file source URL, so its acquisition</w:t>
      </w:r>
      <w:r>
        <w:t xml:space="preserve"> </w:t>
      </w:r>
      <w:r>
        <w:t xml:space="preserve">manifest records the field as not found.</w:t>
      </w:r>
    </w:p>
    <w:p>
      <w:r>
        <w:pict>
          <v:rect style="width:0;height:1.5pt" o:hralign="center" o:hrstd="t" o:hr="t"/>
        </w:pict>
      </w:r>
    </w:p>
    <w:bookmarkEnd w:id="50"/>
    <w:bookmarkStart w:id="51" w:name="X280c82deb5d33f2f920c3c5a0d2887eec3b0e52"/>
    <w:p>
      <w:pPr>
        <w:pStyle w:val="Heading2"/>
      </w:pPr>
      <w:r>
        <w:t xml:space="preserve">S6. Harmonisation, serialisation and population linkage in detail</w:t>
      </w:r>
    </w:p>
    <w:p>
      <w:pPr>
        <w:pStyle w:val="FirstParagraph"/>
      </w:pPr>
      <w:r>
        <w:rPr>
          <w:b/>
          <w:bCs/>
        </w:rPr>
        <w:t xml:space="preserve">Harmonisation.</w:t>
      </w:r>
      <w:r>
        <w:t xml:space="preserve"> </w:t>
      </w:r>
      <w:r>
        <w:t xml:space="preserve">Harmonisation yields 2,024,068 episodes over 73,254 diaries, down from 2,096,043</w:t>
      </w:r>
      <w:r>
        <w:t xml:space="preserve"> </w:t>
      </w:r>
      <w:r>
        <w:t xml:space="preserve">episodes and 77,057 diaries as delivered. The episode difference closes exactly: 90,890 episodes are</w:t>
      </w:r>
      <w:r>
        <w:t xml:space="preserve"> </w:t>
      </w:r>
      <w:r>
        <w:t xml:space="preserve">removed below the age-11 floor, net of 18,915 episodes created when the 04:00 day start splits an episode</w:t>
      </w:r>
      <w:r>
        <w:t xml:space="preserve"> </w:t>
      </w:r>
      <w:r>
        <w:t xml:space="preserve">across the new boundary. The diary difference falls on the same age-11 floor, applied per respondent. Of</w:t>
      </w:r>
      <w:r>
        <w:t xml:space="preserve"> </w:t>
      </w:r>
      <w:r>
        <w:t xml:space="preserve">eighteen registered checks, seventeen were scored and sixteen passed. The exception is an escalation</w:t>
      </w:r>
      <w:r>
        <w:t xml:space="preserve"> </w:t>
      </w:r>
      <w:r>
        <w:t xml:space="preserve">clause that fires when one country’s unknown-category share exceeds another’s by a factor of ten. It fires</w:t>
      </w:r>
      <w:r>
        <w:t xml:space="preserve"> </w:t>
      </w:r>
      <w:r>
        <w:t xml:space="preserve">unconditionally whenever the comparison country’s share is exactly zero, because any positive number</w:t>
      </w:r>
      <w:r>
        <w:t xml:space="preserve"> </w:t>
      </w:r>
      <w:r>
        <w:t xml:space="preserve">exceeds ten times zero; the check is at fault, not the data. One further check was not performed, because</w:t>
      </w:r>
      <w:r>
        <w:t xml:space="preserve"> </w:t>
      </w:r>
      <w:r>
        <w:t xml:space="preserve">no independent published national table is held. A re-tabulation of the project’s own harmonised data</w:t>
      </w:r>
      <w:r>
        <w:t xml:space="preserve"> </w:t>
      </w:r>
      <w:r>
        <w:t xml:space="preserve">would share an ancestor with the reference and could never come up short.</w:t>
      </w:r>
    </w:p>
    <w:p>
      <w:pPr>
        <w:pStyle w:val="BodyText"/>
      </w:pPr>
      <w:r>
        <w:t xml:space="preserve">Activity codes are mapped at the three-digit level from each country’s primary activity variable. At the</w:t>
      </w:r>
      <w:r>
        <w:t xml:space="preserve"> </w:t>
      </w:r>
      <w:r>
        <w:t xml:space="preserve">published level the third digit buys exactly one distinction; it is kept for microdata fidelity, not for</w:t>
      </w:r>
      <w:r>
        <w:t xml:space="preserve"> </w:t>
      </w:r>
      <w:r>
        <w:t xml:space="preserve">published distinguishing power. One transition rule in the original design, expressed in terms of a</w:t>
      </w:r>
      <w:r>
        <w:t xml:space="preserve"> </w:t>
      </w:r>
      <w:r>
        <w:t xml:space="preserve">workplace location, could not be enforced because the harmonised location alphabet has no workplace class.</w:t>
      </w:r>
      <w:r>
        <w:t xml:space="preserve"> </w:t>
      </w:r>
      <w:r>
        <w:t xml:space="preserve">The corresponding check was demoted to a reported rate before generation.</w:t>
      </w:r>
    </w:p>
    <w:p>
      <w:pPr>
        <w:pStyle w:val="BodyText"/>
      </w:pPr>
      <w:r>
        <w:rPr>
          <w:b/>
          <w:bCs/>
        </w:rPr>
        <w:t xml:space="preserve">Why margins do not certify the joint.</w:t>
      </w:r>
      <w:r>
        <w:t xml:space="preserve"> </w:t>
      </w:r>
      <w:r>
        <w:t xml:space="preserve">During development, a correction that repaired one marginal left</w:t>
      </w:r>
      <w:r>
        <w:t xml:space="preserve"> </w:t>
      </w:r>
      <w:r>
        <w:t xml:space="preserve">the corresponding joint badly wrong: it generated more than fifteen hundred employed thirteen-year-olds</w:t>
      </w:r>
      <w:r>
        <w:t xml:space="preserve"> </w:t>
      </w:r>
      <w:r>
        <w:t xml:space="preserve">from a single donor day. It was found only because the joint was inspected directly. This is why every</w:t>
      </w:r>
      <w:r>
        <w:t xml:space="preserve"> </w:t>
      </w:r>
      <w:r>
        <w:t xml:space="preserve">stage of the study scores quantities that were never in the prompt and treats marginal agreement as a</w:t>
      </w:r>
      <w:r>
        <w:t xml:space="preserve"> </w:t>
      </w:r>
      <w:r>
        <w:t xml:space="preserve">precondition rather than as evidence.</w:t>
      </w:r>
    </w:p>
    <w:p>
      <w:pPr>
        <w:pStyle w:val="BodyText"/>
      </w:pPr>
      <w:r>
        <w:rPr>
          <w:b/>
          <w:bCs/>
        </w:rPr>
        <w:t xml:space="preserve">Serialisation.</w:t>
      </w:r>
      <w:r>
        <w:t xml:space="preserve"> </w:t>
      </w:r>
      <w:r>
        <w:t xml:space="preserve">The prefix was reduced to six fields from an original nine before training. Records</w:t>
      </w:r>
      <w:r>
        <w:t xml:space="preserve"> </w:t>
      </w:r>
      <w:r>
        <w:t xml:space="preserve">have a median length of 256 tokens, a 99th percentile of 632 and a maximum of 1,178. All 73,254 diaries</w:t>
      </w:r>
      <w:r>
        <w:t xml:space="preserve"> </w:t>
      </w:r>
      <w:r>
        <w:t xml:space="preserve">serialise, with no rows and no diaries dropped. Nineteen of twenty registered checks pass at baseline, and</w:t>
      </w:r>
      <w:r>
        <w:t xml:space="preserve"> </w:t>
      </w:r>
      <w:r>
        <w:t xml:space="preserve">all twenty-one injected faults were detected by the check they targeted. The single exception is the</w:t>
      </w:r>
      <w:r>
        <w:t xml:space="preserve"> </w:t>
      </w:r>
      <w:r>
        <w:t xml:space="preserve">stratum-completeness check: 551 UK diaries carry a household type recorded as unknown. No row is imputed</w:t>
      </w:r>
      <w:r>
        <w:t xml:space="preserve"> </w:t>
      </w:r>
      <w:r>
        <w:t xml:space="preserve">or dropped, and the check is left unmet because the category exists in the data.</w:t>
      </w:r>
    </w:p>
    <w:p>
      <w:pPr>
        <w:pStyle w:val="BodyText"/>
      </w:pPr>
      <w:r>
        <w:rPr>
          <w:b/>
          <w:bCs/>
        </w:rPr>
        <w:t xml:space="preserve">Population linkage.</w:t>
      </w:r>
      <w:r>
        <w:t xml:space="preserve"> </w:t>
      </w:r>
      <w:r>
        <w:t xml:space="preserve">The four-way joint table is fitted to a worst absolute marginal deviation below</w:t>
      </w:r>
      <w:r>
        <w:t xml:space="preserve"> </w:t>
      </w:r>
      <w:r>
        <w:t xml:space="preserve">1e-13. Of 36 check-by-fold verdicts, 34 pass (S1.3). Day type is assigned at calendar-week proportions,</w:t>
      </w:r>
      <w:r>
        <w:t xml:space="preserve"> </w:t>
      </w:r>
      <w:r>
        <w:t xml:space="preserve">and Spain is fitted on five of seven economic-status categories.</w:t>
      </w:r>
    </w:p>
    <w:p>
      <w:r>
        <w:pict>
          <v:rect style="width:0;height:1.5pt" o:hralign="center" o:hrstd="t" o:hr="t"/>
        </w:pict>
      </w:r>
    </w:p>
    <w:bookmarkEnd w:id="51"/>
    <w:bookmarkStart w:id="70" w:name="s7.-supplementary-results"/>
    <w:p>
      <w:pPr>
        <w:pStyle w:val="Heading2"/>
      </w:pPr>
      <w:r>
        <w:t xml:space="preserve">S7. Supplementary results</w:t>
      </w:r>
    </w:p>
    <w:bookmarkStart w:id="55" w:name="s7.1-primary-comparison"/>
    <w:p>
      <w:pPr>
        <w:pStyle w:val="Heading3"/>
      </w:pPr>
      <w:r>
        <w:t xml:space="preserve">S7.1 Primary comparison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Figure S1" title="" id="53" name="Picture"/>
            <a:graphic>
              <a:graphicData uri="http://schemas.openxmlformats.org/drawingml/2006/picture">
                <pic:pic>
                  <pic:nvPicPr>
                    <pic:cNvPr descr="figures/Figure_03_nine_cell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S1.</w:t>
      </w:r>
      <w:r>
        <w:t xml:space="preserve"> </w:t>
      </w:r>
      <w:r>
        <w:t xml:space="preserve">- Time-budget mean absolute error of the model and the raked donor pool in the nine cells.</w:t>
      </w:r>
    </w:p>
    <w:p>
      <w:pPr>
        <w:pStyle w:val="BodyText"/>
      </w:pPr>
      <w:r>
        <w:t xml:space="preserve">The exact margins are -26.8784, -25.6944 and -32.5068 minutes per day for Spain (ages 25-44, 45-64, 65</w:t>
      </w:r>
      <w:r>
        <w:t xml:space="preserve"> </w:t>
      </w:r>
      <w:r>
        <w:t xml:space="preserve">and over), -37.113, -41.2313 and -2.698 for the UK, and -42.7338, -20.0943 and -20.335 for Italy. The</w:t>
      </w:r>
      <w:r>
        <w:t xml:space="preserve"> </w:t>
      </w:r>
      <w:r>
        <w:t xml:space="preserve">model-to-baseline error ratio ranges from 1.1461 (UK, 65 and over) to 3.9119 (Spain, 45-64).</w:t>
      </w:r>
    </w:p>
    <w:bookmarkEnd w:id="55"/>
    <w:bookmarkStart w:id="56" w:name="s7.2-further-transfer-checks"/>
    <w:p>
      <w:pPr>
        <w:pStyle w:val="Heading3"/>
      </w:pPr>
      <w:r>
        <w:t xml:space="preserve">S7.2 Further transfer checks</w:t>
      </w:r>
    </w:p>
    <w:p>
      <w:pPr>
        <w:pStyle w:val="FirstParagraph"/>
      </w:pPr>
      <w:r>
        <w:rPr>
          <w:b/>
          <w:bCs/>
        </w:rPr>
        <w:t xml:space="preserve">Limitation criteria.</w:t>
      </w:r>
      <w:r>
        <w:t xml:space="preserve"> </w:t>
      </w:r>
      <w:r>
        <w:t xml:space="preserve">The fault-injection coverage of this check is not demonstrable, for vacuity rather</w:t>
      </w:r>
      <w:r>
        <w:t xml:space="preserve"> </w:t>
      </w:r>
      <w:r>
        <w:t xml:space="preserve">than weakness: every cell already falls short at baseline, so no injected fault can show detection.</w:t>
      </w:r>
    </w:p>
    <w:p>
      <w:pPr>
        <w:pStyle w:val="BodyText"/>
      </w:pPr>
      <w:r>
        <w:rPr>
          <w:b/>
          <w:bCs/>
        </w:rPr>
        <w:t xml:space="preserve">In-sample regression.</w:t>
      </w:r>
      <w:r>
        <w:t xml:space="preserve"> </w:t>
      </w:r>
      <w:r>
        <w:t xml:space="preserve">Table S2 gives the six in-sample cells of OLMo 3 7B. A pair</w:t>
      </w:r>
      <w:r>
        <w:t xml:space="preserve"> </w:t>
      </w:r>
      <w:r>
        <w:t xml:space="preserve">“a on b”</w:t>
      </w:r>
      <w:r>
        <w:t xml:space="preserve"> </w:t>
      </w:r>
      <w:r>
        <w:t xml:space="preserve">is the model</w:t>
      </w:r>
      <w:r>
        <w:t xml:space="preserve"> </w:t>
      </w:r>
      <w:r>
        <w:t xml:space="preserve">of the fold that holds out country a, scored on training country b. The bar is a worst-band MAPE of at most</w:t>
      </w:r>
      <w:r>
        <w:t xml:space="preserve"> </w:t>
      </w:r>
      <w:r>
        <w:t xml:space="preserve">15 per cent. The same check scored on the real corpus gives 4.64 per cent in Spain, 5.96 per cent in the UK</w:t>
      </w:r>
      <w:r>
        <w:t xml:space="preserve"> </w:t>
      </w:r>
      <w:r>
        <w:t xml:space="preserve">and 11.50 per cent in Italy, so the bar can be met. A second clause of this check was first read as passing</w:t>
      </w:r>
      <w:r>
        <w:t xml:space="preserve"> </w:t>
      </w:r>
      <w:r>
        <w:t xml:space="preserve">in five of six cells on the 1B model and, on re-derivation, passes in two.</w:t>
      </w:r>
    </w:p>
    <w:p>
      <w:pPr>
        <w:pStyle w:val="BodyText"/>
      </w:pPr>
      <w:r>
        <w:rPr>
          <w:b/>
          <w:bCs/>
        </w:rPr>
        <w:t xml:space="preserve">Table S2.</w:t>
      </w:r>
      <w:r>
        <w:t xml:space="preserve"> </w:t>
      </w:r>
      <w:r>
        <w:t xml:space="preserve">- In-sample check of OLMo 3 7B on its training countries.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 (held out)</w:t>
            </w:r>
          </w:p>
        </w:tc>
        <w:tc>
          <w:tcPr/>
          <w:p>
            <w:pPr>
              <w:pStyle w:val="Compact"/>
            </w:pPr>
            <w:r>
              <w:t xml:space="preserve">Training country scored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Worst-band MAPE (per cent)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Worst-band MAE (min/day)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49.06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45.79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88.10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51.28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71.36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44.27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Country discrimination.</w:t>
      </w:r>
      <w:r>
        <w:t xml:space="preserve"> </w:t>
      </w:r>
      <w:r>
        <w:t xml:space="preserve">In the Italian fold’s youngest band the margin is -0.4555: Italy’s own real</w:t>
      </w:r>
      <w:r>
        <w:t xml:space="preserve"> </w:t>
      </w:r>
      <w:r>
        <w:t xml:space="preserve">diaries are nearer to Spain’s published table than to Italy’s. This is the different survey round of</w:t>
      </w:r>
      <w:r>
        <w:t xml:space="preserve"> </w:t>
      </w:r>
      <w:r>
        <w:t xml:space="preserve">Italy’s published budget appearing as a measurement.</w:t>
      </w:r>
    </w:p>
    <w:p>
      <w:pPr>
        <w:pStyle w:val="BodyText"/>
      </w:pPr>
      <w:r>
        <w:rPr>
          <w:b/>
          <w:bCs/>
        </w:rPr>
        <w:t xml:space="preserve">Capacity.</w:t>
      </w:r>
      <w:r>
        <w:t xml:space="preserve"> </w:t>
      </w:r>
      <w:r>
        <w:t xml:space="preserve">Table S3 gives the three capacity interventions.</w:t>
      </w:r>
    </w:p>
    <w:p>
      <w:pPr>
        <w:pStyle w:val="BodyText"/>
      </w:pPr>
      <w:r>
        <w:rPr>
          <w:b/>
          <w:bCs/>
        </w:rPr>
        <w:t xml:space="preserve">Table S3.</w:t>
      </w:r>
      <w:r>
        <w:t xml:space="preserve"> </w:t>
      </w:r>
      <w:r>
        <w:t xml:space="preserve">- Three capacity interventions.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Effect on the transfer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Backbone size</w:t>
            </w:r>
          </w:p>
        </w:tc>
        <w:tc>
          <w:tcPr/>
          <w:p>
            <w:pPr>
              <w:pStyle w:val="Compact"/>
            </w:pPr>
            <w:r>
              <w:t xml:space="preserve">1.48 B to 7.30 B, a factor of 4.9</w:t>
            </w:r>
          </w:p>
        </w:tc>
        <w:tc>
          <w:tcPr/>
          <w:p>
            <w:pPr>
              <w:pStyle w:val="Compact"/>
            </w:pPr>
            <w:r>
              <w:t xml:space="preserve">mean error 42.05 to 43.14 minutes per day, worse; 4 cells better, 5 worse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Trainable parameters</w:t>
            </w:r>
          </w:p>
        </w:tc>
        <w:tc>
          <w:tcPr/>
          <w:p>
            <w:pPr>
              <w:pStyle w:val="Compact"/>
            </w:pPr>
            <w:r>
              <w:t xml:space="preserve">79,953,920 to 7,377,965,056, a factor of 92</w:t>
            </w:r>
          </w:p>
        </w:tc>
        <w:tc>
          <w:tcPr/>
          <w:p>
            <w:pPr>
              <w:pStyle w:val="Compact"/>
            </w:pPr>
            <w:r>
              <w:t xml:space="preserve">higher training loss at every epoch; adapter 0.508305 against full fine-tune 0.513494 at the last epoch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Backbone family</w:t>
            </w:r>
          </w:p>
        </w:tc>
        <w:tc>
          <w:tcPr/>
          <w:p>
            <w:pPr>
              <w:pStyle w:val="Compact"/>
            </w:pPr>
            <w:r>
              <w:t xml:space="preserve">Qwen2.5-7B, same recipe, Spanish fold</w:t>
            </w:r>
          </w:p>
        </w:tc>
        <w:tc>
          <w:tcPr/>
          <w:p>
            <w:pPr>
              <w:pStyle w:val="Compact"/>
            </w:pPr>
            <w:r>
              <w:t xml:space="preserve">about 22 per cent more wall time, 16 per cent more memory; only the held-in probe-loss check separates the two</w:t>
            </w:r>
          </w:p>
        </w:tc>
      </w:tr>
    </w:tbl>
    <w:p>
      <w:pPr>
        <w:pStyle w:val="BodyText"/>
      </w:pPr>
      <w:r>
        <w:t xml:space="preserve">The full fine-tune and the adapter tie on content loss. No claim is made that the full fine-tune changed</w:t>
      </w:r>
      <w:r>
        <w:t xml:space="preserve"> </w:t>
      </w:r>
      <w:r>
        <w:t xml:space="preserve">dispersion in either direction.</w:t>
      </w:r>
    </w:p>
    <w:p>
      <w:pPr>
        <w:pStyle w:val="BodyText"/>
      </w:pPr>
      <w:r>
        <w:rPr>
          <w:b/>
          <w:bCs/>
        </w:rPr>
        <w:t xml:space="preserve">Fictional-country control, exact values.</w:t>
      </w:r>
      <w:r>
        <w:t xml:space="preserve"> </w:t>
      </w:r>
      <w:r>
        <w:t xml:space="preserve">Only the age-band mix of the conditioning population is tilted.</w:t>
      </w:r>
      <w:r>
        <w:t xml:space="preserve"> </w:t>
      </w:r>
      <w:r>
        <w:t xml:space="preserve">Direction is scored on the study group that the tilt targets; amplitude is the slope pooled over the five</w:t>
      </w:r>
      <w:r>
        <w:t xml:space="preserve"> </w:t>
      </w:r>
      <w:r>
        <w:t xml:space="preserve">outcome groups other than leisure. For OLMo 3 7B, the direction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0.9897, 0.9914 and 0.9941</w:t>
      </w:r>
      <w:r>
        <w:t xml:space="preserve"> </w:t>
      </w:r>
      <w:r>
        <w:t xml:space="preserve">(Spain, UK, Italy) and the pooled amplitude slope is 0.4153, 0.5329 and 0.4049. For OLMo 2 1B,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0.8455, 0.9808 and 0.9836 and the slope 0.2666, 0.4612 and 0.3785. Both are computed over the same five</w:t>
      </w:r>
      <w:r>
        <w:t xml:space="preserve"> </w:t>
      </w:r>
      <w:r>
        <w:t xml:space="preserve">activity groups, with the leisure group excluded by name.</w:t>
      </w:r>
    </w:p>
    <w:bookmarkEnd w:id="56"/>
    <w:bookmarkStart w:id="60" w:name="s7.3-joint-structure-and-decoding"/>
    <w:p>
      <w:pPr>
        <w:pStyle w:val="Heading3"/>
      </w:pPr>
      <w:r>
        <w:t xml:space="preserve">S7.3 Joint structure and decoding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Figure S2" title="" id="58" name="Picture"/>
            <a:graphic>
              <a:graphicData uri="http://schemas.openxmlformats.org/drawingml/2006/picture">
                <pic:pic>
                  <pic:nvPicPr>
                    <pic:cNvPr descr="figures/Figure_05_joint_structur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S2.</w:t>
      </w:r>
      <w:r>
        <w:t xml:space="preserve"> </w:t>
      </w:r>
      <w:r>
        <w:t xml:space="preserve">- Four structural properties, each as a multiple of its tolerance, across the three folds.</w:t>
      </w:r>
    </w:p>
    <w:p>
      <w:pPr>
        <w:pStyle w:val="BodyText"/>
      </w:pPr>
      <w:r>
        <w:t xml:space="preserve">Without the grammar mask, the valid-diary rate is 6.88 per cent in Spain, 30.96 per cent in the UK and</w:t>
      </w:r>
      <w:r>
        <w:t xml:space="preserve"> </w:t>
      </w:r>
      <w:r>
        <w:t xml:space="preserve">10.65 per cent in Italy (358, 1,610 and 554 of 5,200), against a requirement of 99.90 per cent. The mask</w:t>
      </w:r>
      <w:r>
        <w:t xml:space="preserve"> </w:t>
      </w:r>
      <w:r>
        <w:t xml:space="preserve">intervened in 93.16, 69.84 and 89.62 per cent of the generated population. The decoding-neutrality check,</w:t>
      </w:r>
      <w:r>
        <w:t xml:space="preserve"> </w:t>
      </w:r>
      <w:r>
        <w:t xml:space="preserve">at 5,169, 5,066 and 5,065 valid diaries, has a worst three-digit activity code off by 101.02, 29.60 and 48.87 minutes per day</w:t>
      </w:r>
      <w:r>
        <w:t xml:space="preserve"> </w:t>
      </w:r>
      <w:r>
        <w:t xml:space="preserve">against a tolerance of plus or minus 5.0.</w:t>
      </w:r>
    </w:p>
    <w:bookmarkEnd w:id="60"/>
    <w:bookmarkStart w:id="61" w:name="s7.4-privacy"/>
    <w:p>
      <w:pPr>
        <w:pStyle w:val="Heading3"/>
      </w:pPr>
      <w:r>
        <w:t xml:space="preserve">S7.4 Privacy</w:t>
      </w:r>
    </w:p>
    <w:p>
      <w:pPr>
        <w:pStyle w:val="FirstParagraph"/>
      </w:pPr>
      <w:r>
        <w:t xml:space="preserve">The loss-based attack scores an AUC of 0.6645, 1.70 standard deviations over the ceiling of 0.65; the</w:t>
      </w:r>
      <w:r>
        <w:t xml:space="preserve"> </w:t>
      </w:r>
      <w:r>
        <w:t xml:space="preserve">untuned-base floor on the same construction is 0.4886. The reference-based attack scores 0.5594 against a</w:t>
      </w:r>
      <w:r>
        <w:t xml:space="preserve"> </w:t>
      </w:r>
      <w:r>
        <w:t xml:space="preserve">ceiling of 0.75. Prefix-prompted extraction on strata with fewer than five records finds 0 exact matches in</w:t>
      </w:r>
      <w:r>
        <w:t xml:space="preserve"> </w:t>
      </w:r>
      <w:r>
        <w:t xml:space="preserve">103 attempts. The distance-to-closest-record check passes on Spain and Italy; on the UK, the test-set median</w:t>
      </w:r>
      <w:r>
        <w:t xml:space="preserve"> </w:t>
      </w:r>
      <w:r>
        <w:t xml:space="preserve">distance of 0.4236 lies above the size-matched training interval of 0.4028 to 0.4167. The perplexity gap is</w:t>
      </w:r>
      <w:r>
        <w:t xml:space="preserve"> </w:t>
      </w:r>
      <w:r>
        <w:t xml:space="preserve">0.0570 against a ceiling of 0.05, and 0.0511 on a randomly permuted adapter, so it measures fit to the</w:t>
      </w:r>
      <w:r>
        <w:t xml:space="preserve"> </w:t>
      </w:r>
      <w:r>
        <w:t xml:space="preserve">language of diaries rather than membership. The memorisation control scores 0.6496, only 0.0149 below the</w:t>
      </w:r>
      <w:r>
        <w:t xml:space="preserve"> </w:t>
      </w:r>
      <w:r>
        <w:t xml:space="preserve">attack, and moved by 0.102 when capacity increased, so it does not bound the attack.</w:t>
      </w:r>
    </w:p>
    <w:bookmarkEnd w:id="61"/>
    <w:bookmarkStart w:id="65" w:name="s7.5-appliance-and-hot-water-loads"/>
    <w:p>
      <w:pPr>
        <w:pStyle w:val="Heading3"/>
      </w:pPr>
      <w:r>
        <w:t xml:space="preserve">S7.5 Appliance and hot-water loads</w:t>
      </w:r>
    </w:p>
    <w:p>
      <w:pPr>
        <w:pStyle w:val="FirstParagraph"/>
      </w:pPr>
      <w:r>
        <w:drawing>
          <wp:inline>
            <wp:extent cx="5334000" cy="1817511"/>
            <wp:effectExtent b="0" l="0" r="0" t="0"/>
            <wp:docPr descr="Figure S3" title="" id="63" name="Picture"/>
            <a:graphic>
              <a:graphicData uri="http://schemas.openxmlformats.org/drawingml/2006/picture">
                <pic:pic>
                  <pic:nvPicPr>
                    <pic:cNvPr descr="figures/Figure_06_appliance_peak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7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S3.</w:t>
      </w:r>
      <w:r>
        <w:t xml:space="preserve"> </w:t>
      </w:r>
      <w:r>
        <w:t xml:space="preserve">- Mean appliance electricity by hour of day from the generated diaries, three folds.</w:t>
      </w:r>
    </w:p>
    <w:p>
      <w:pPr>
        <w:pStyle w:val="BodyText"/>
      </w:pPr>
      <w:r>
        <w:rPr>
          <w:b/>
          <w:bCs/>
        </w:rPr>
        <w:t xml:space="preserve">Table S4.</w:t>
      </w:r>
      <w:r>
        <w:t xml:space="preserve"> </w:t>
      </w:r>
      <w:r>
        <w:t xml:space="preserve">- Peak and runner-up hour of stock appliance electricity (W per dwelling), 100 dwellings, one year.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Generated diaries</w:t>
            </w:r>
          </w:p>
        </w:tc>
        <w:tc>
          <w:tcPr/>
          <w:p>
            <w:pPr>
              <w:pStyle w:val="Compact"/>
            </w:pPr>
            <w:r>
              <w:t xml:space="preserve">Real diaries (unweighted)</w:t>
            </w:r>
          </w:p>
        </w:tc>
        <w:tc>
          <w:tcPr/>
          <w:p>
            <w:pPr>
              <w:pStyle w:val="Compact"/>
            </w:pPr>
            <w:r>
              <w:t xml:space="preserve">Raked donor diaries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14:00, 502.9 W (2nd: 19:00, 436.5 W)</w:t>
            </w:r>
          </w:p>
        </w:tc>
        <w:tc>
          <w:tcPr/>
          <w:p>
            <w:pPr>
              <w:pStyle w:val="Compact"/>
            </w:pPr>
            <w:r>
              <w:t xml:space="preserve">21:00, 421.5 W (2nd: 13:00, 405.9 W)</w:t>
            </w:r>
          </w:p>
        </w:tc>
        <w:tc>
          <w:tcPr/>
          <w:p>
            <w:pPr>
              <w:pStyle w:val="Compact"/>
            </w:pPr>
            <w:r>
              <w:t xml:space="preserve">19:00, 408.5 W (2nd: 20:00, 402.5 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18:00, 403.5 W (2nd: 22:00, 332.0 W)</w:t>
            </w:r>
          </w:p>
        </w:tc>
        <w:tc>
          <w:tcPr/>
          <w:p>
            <w:pPr>
              <w:pStyle w:val="Compact"/>
            </w:pPr>
            <w:r>
              <w:t xml:space="preserve">19:00, 444.4 W (2nd: 20:00, 411.7 W)</w:t>
            </w:r>
          </w:p>
        </w:tc>
        <w:tc>
          <w:tcPr/>
          <w:p>
            <w:pPr>
              <w:pStyle w:val="Compact"/>
            </w:pPr>
            <w:r>
              <w:t xml:space="preserve">21:00, 396.5 W (2nd: 20:00, 379.4 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</w:pPr>
            <w:r>
              <w:t xml:space="preserve">20:00, 416.1 W (2nd: 13:00, 348.0 W)</w:t>
            </w:r>
          </w:p>
        </w:tc>
        <w:tc>
          <w:tcPr/>
          <w:p>
            <w:pPr>
              <w:pStyle w:val="Compact"/>
            </w:pPr>
            <w:r>
              <w:t xml:space="preserve">18:00, 427.2 W (2nd: 19:00, 415.7 W)</w:t>
            </w:r>
          </w:p>
        </w:tc>
        <w:tc>
          <w:tcPr/>
          <w:p>
            <w:pPr>
              <w:pStyle w:val="Compact"/>
            </w:pPr>
            <w:r>
              <w:t xml:space="preserve">21:00, 425.9 W (2nd: 20:00, 411.3 W)</w:t>
            </w:r>
          </w:p>
        </w:tc>
      </w:tr>
    </w:tbl>
    <w:p>
      <w:pPr>
        <w:pStyle w:val="BodyText"/>
      </w:pPr>
      <w:r>
        <w:t xml:space="preserve">Only the diary source differs between the three columns. The real pool holds 5,200 diaries per country,</w:t>
      </w:r>
      <w:r>
        <w:t xml:space="preserve"> </w:t>
      </w:r>
      <w:r>
        <w:t xml:space="preserve">drawn uniformly from that country’s diaries. The raked donor pool holds 5,200 diaries per country, drawn</w:t>
      </w:r>
      <w:r>
        <w:t xml:space="preserve"> </w:t>
      </w:r>
      <w:r>
        <w:t xml:space="preserve">from the other two countries’ diaries with probability proportional to the raked weight; it contains no</w:t>
      </w:r>
      <w:r>
        <w:t xml:space="preserve"> </w:t>
      </w:r>
      <w:r>
        <w:t xml:space="preserve">diary from the target country. Re-running the generated-diary case reproduced the stock series behind the</w:t>
      </w:r>
      <w:r>
        <w:t xml:space="preserve"> </w:t>
      </w:r>
      <w:r>
        <w:t xml:space="preserve">peaks byte for byte in all three folds; in two folds, one per-dwelling annual total differed by 0.001 kWh</w:t>
      </w:r>
      <w:r>
        <w:t xml:space="preserve"> </w:t>
      </w:r>
      <w:r>
        <w:t xml:space="preserve">through last-digit rounding across computing platforms.</w:t>
      </w:r>
    </w:p>
    <w:p>
      <w:pPr>
        <w:pStyle w:val="BodyText"/>
      </w:pPr>
      <w:r>
        <w:rPr>
          <w:b/>
          <w:bCs/>
        </w:rPr>
        <w:t xml:space="preserve">Secondary activity.</w:t>
      </w:r>
      <w:r>
        <w:t xml:space="preserve"> </w:t>
      </w:r>
      <w:r>
        <w:t xml:space="preserve">The generated diaries carry a secondary activity on 29.816 per cent of episodes and</w:t>
      </w:r>
      <w:r>
        <w:t xml:space="preserve"> </w:t>
      </w:r>
      <w:r>
        <w:t xml:space="preserve">26.308 per cent of modelled minutes, across 29 distinct codes. The trigger never reads it.</w:t>
      </w:r>
    </w:p>
    <w:p>
      <w:pPr>
        <w:pStyle w:val="BodyText"/>
      </w:pPr>
      <w:r>
        <w:rPr>
          <w:b/>
          <w:bCs/>
        </w:rPr>
        <w:t xml:space="preserve">Laundry.</w:t>
      </w:r>
      <w:r>
        <w:t xml:space="preserve"> </w:t>
      </w:r>
      <w:r>
        <w:t xml:space="preserve">Eligible laundry minutes per dwelling-year are 2,462 in Spain, 1,589 in the UK and 781 in Italy,</w:t>
      </w:r>
      <w:r>
        <w:t xml:space="preserve"> </w:t>
      </w:r>
      <w:r>
        <w:t xml:space="preserve">against 27,036 required by the reference washing machine’s published cycle count. After calibration,</w:t>
      </w:r>
      <w:r>
        <w:t xml:space="preserve"> </w:t>
      </w:r>
      <w:r>
        <w:t xml:space="preserve">modelled washing-machine cycles reach 0.776, 0.179 and 0.092 of the published count. Load-shape agreement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0.2967, 0.4106 and 0.0346 against a floor of 0.85. At stock scale, on 7,602 London flats and</w:t>
      </w:r>
      <w:r>
        <w:t xml:space="preserve"> </w:t>
      </w:r>
      <w:r>
        <w:t xml:space="preserve">29,902 Bologna flats, agreement is 0.4347 and 0.0781. Three appliances run 74 to 84 per cent below the</w:t>
      </w:r>
      <w:r>
        <w:t xml:space="preserve"> </w:t>
      </w:r>
      <w:r>
        <w:t xml:space="preserve">published cycle count while the laundry appliances saturate. The reference profile is more than 77 per cent</w:t>
      </w:r>
      <w:r>
        <w:t xml:space="preserve"> </w:t>
      </w:r>
      <w:r>
        <w:t xml:space="preserve">laundry at 11:00, and this model suppresses laundry starts by 80 to 90 per cent. No tolerance was moved at</w:t>
      </w:r>
      <w:r>
        <w:t xml:space="preserve"> </w:t>
      </w:r>
      <w:r>
        <w:t xml:space="preserve">either scale.</w:t>
      </w:r>
    </w:p>
    <w:p>
      <w:pPr>
        <w:pStyle w:val="BodyText"/>
      </w:pPr>
      <w:r>
        <w:rPr>
          <w:b/>
          <w:bCs/>
        </w:rPr>
        <w:t xml:space="preserve">Hot water.</w:t>
      </w:r>
      <w:r>
        <w:t xml:space="preserve"> </w:t>
      </w:r>
      <w:r>
        <w:t xml:space="preserve">The registered per-person check measured 100.16, 117.65 and 91.06 litres per person per day</w:t>
      </w:r>
      <w:r>
        <w:t xml:space="preserve"> </w:t>
      </w:r>
      <w:r>
        <w:t xml:space="preserve">against a band of 30 to 50. The modelling source publishes 200 litres per day per dwelling at a 35 kelvin</w:t>
      </w:r>
      <w:r>
        <w:t xml:space="preserve"> </w:t>
      </w:r>
      <w:r>
        <w:t xml:space="preserve">rise, with no per-person figure. The band traces instead to a review (Fuentes et al., 2018). The scored</w:t>
      </w:r>
      <w:r>
        <w:t xml:space="preserve"> </w:t>
      </w:r>
      <w:r>
        <w:t xml:space="preserve">quantity reduces to 200 divided by household size, to within 0.0005 over all 300 rows, so the check measured</w:t>
      </w:r>
      <w:r>
        <w:t xml:space="preserve"> </w:t>
      </w:r>
      <w:r>
        <w:t xml:space="preserve">household size rather than the hot-water model. It is kept as informational, with its band unchanged. A</w:t>
      </w:r>
      <w:r>
        <w:t xml:space="preserve"> </w:t>
      </w:r>
      <w:r>
        <w:t xml:space="preserve">replacement check scores the stock mean per dwelling against the source’s 200 litres, plus or minus ten per</w:t>
      </w:r>
      <w:r>
        <w:t xml:space="preserve"> </w:t>
      </w:r>
      <w:r>
        <w:t xml:space="preserve">cent. It was shown to detect deliberately doubled draws (about 401 litres) before being used. It passes at</w:t>
      </w:r>
      <w:r>
        <w:t xml:space="preserve"> </w:t>
      </w:r>
      <w:r>
        <w:t xml:space="preserve">200.79, 201.01 and 199.47 litres, and at stock scale at 202.41 and 200.35. It is a consistency check, not an</w:t>
      </w:r>
      <w:r>
        <w:t xml:space="preserve"> </w:t>
      </w:r>
      <w:r>
        <w:t xml:space="preserve">external validation.</w:t>
      </w:r>
    </w:p>
    <w:bookmarkEnd w:id="65"/>
    <w:bookmarkStart w:id="69" w:name="s7.6-heating"/>
    <w:p>
      <w:pPr>
        <w:pStyle w:val="Heading3"/>
      </w:pPr>
      <w:r>
        <w:t xml:space="preserve">S7.6 Heating</w:t>
      </w:r>
    </w:p>
    <w:p>
      <w:pPr>
        <w:pStyle w:val="FirstParagraph"/>
      </w:pPr>
      <w:r>
        <w:rPr>
          <w:b/>
          <w:bCs/>
        </w:rPr>
        <w:t xml:space="preserve">Table S5.</w:t>
      </w:r>
      <w:r>
        <w:t xml:space="preserve"> </w:t>
      </w:r>
      <w:r>
        <w:t xml:space="preserve">- Occupancy effect on heating at full sensitivity (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Italy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+2.7145 %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+0.0393 %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-0.6332 %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Between-diary spread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4.9837 %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2.3797 %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1.5959 %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 of effect to spread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median 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-1.5100 %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-0.3605 %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-0.4178 %</w:t>
            </w:r>
          </w:p>
        </w:tc>
      </w:tr>
    </w:tbl>
    <w:p>
      <w:pPr>
        <w:pStyle w:val="BodyText"/>
      </w:pPr>
      <w:r>
        <w:drawing>
          <wp:inline>
            <wp:extent cx="5334000" cy="3778249"/>
            <wp:effectExtent b="0" l="0" r="0" t="0"/>
            <wp:docPr descr="Figure S4" title="" id="67" name="Picture"/>
            <a:graphic>
              <a:graphicData uri="http://schemas.openxmlformats.org/drawingml/2006/picture">
                <pic:pic>
                  <pic:nvPicPr>
                    <pic:cNvPr descr="figures/Figure_07_heating_null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S4.</w:t>
      </w:r>
      <w:r>
        <w:t xml:space="preserve"> </w:t>
      </w:r>
      <w:r>
        <w:t xml:space="preserve">- Occupancy effect on heating: peak effect against the between-diary spread (A), the annual channel (B1) and apartment buildings (B2).</w:t>
      </w:r>
    </w:p>
    <w:p>
      <w:pPr>
        <w:pStyle w:val="BodyText"/>
      </w:pPr>
      <w:r>
        <w:t xml:space="preserve">The apartment-building effect is +3.4617, +1.0421 and +0.5002 per cent. The hour of the annual peak never</w:t>
      </w:r>
      <w:r>
        <w:t xml:space="preserve"> </w:t>
      </w:r>
      <w:r>
        <w:t xml:space="preserve">moves at any sensitivity level in any fold, because it is the thermostat recovery hour of the model.</w:t>
      </w:r>
    </w:p>
    <w:p>
      <w:pPr>
        <w:pStyle w:val="BodyText"/>
      </w:pPr>
      <w:r>
        <w:rPr>
          <w:b/>
          <w:bCs/>
        </w:rPr>
        <w:t xml:space="preserve">Dynamic against quasi-steady-state heating.</w:t>
      </w:r>
      <w:r>
        <w:t xml:space="preserve"> </w:t>
      </w:r>
      <w:r>
        <w:t xml:space="preserve">Simulated hourly heating demand differs from TABULA’s</w:t>
      </w:r>
      <w:r>
        <w:t xml:space="preserve"> </w:t>
      </w:r>
      <w:r>
        <w:t xml:space="preserve">published quasi-steady-state monthly figure by +136.6 per cent in Spain, -29.6 per cent in the UK and -36.7</w:t>
      </w:r>
      <w:r>
        <w:t xml:space="preserve"> </w:t>
      </w:r>
      <w:r>
        <w:t xml:space="preserve">per cent in Italy. In Spain, the published method counts gains over a 539-hour heating season, while the</w:t>
      </w:r>
      <w:r>
        <w:t xml:space="preserve"> </w:t>
      </w:r>
      <w:r>
        <w:t xml:space="preserve">simulation heats for 2,901 hours at the same set point. This is a structural comparison between two models,</w:t>
      </w:r>
      <w:r>
        <w:t xml:space="preserve"> </w:t>
      </w:r>
      <w:r>
        <w:t xml:space="preserve">kept as informational.</w:t>
      </w:r>
    </w:p>
    <w:p>
      <w:pPr>
        <w:pStyle w:val="BodyText"/>
      </w:pPr>
      <w:r>
        <w:rPr>
          <w:b/>
          <w:bCs/>
        </w:rPr>
        <w:t xml:space="preserve">Earlier observed-stock layout (410 cells).</w:t>
      </w:r>
      <w:r>
        <w:t xml:space="preserve"> </w:t>
      </w:r>
      <w:r>
        <w:t xml:space="preserve">On this method record, moving from no occupancy signal to the</w:t>
      </w:r>
      <w:r>
        <w:t xml:space="preserve"> </w:t>
      </w:r>
      <w:r>
        <w:t xml:space="preserve">full signal moves annual heating by under half a per cent, while it moves the hourly peak by up to 7.92 per</w:t>
      </w:r>
      <w:r>
        <w:t xml:space="preserve"> </w:t>
      </w:r>
      <w:r>
        <w:t xml:space="preserve">cent and the peak hour by up to 41 hours. It is not a scored result of this study.</w:t>
      </w:r>
    </w:p>
    <w:p>
      <w:pPr>
        <w:pStyle w:val="BodyText"/>
      </w:pPr>
      <w:r>
        <w:rPr>
          <w:b/>
          <w:bCs/>
        </w:rPr>
        <w:t xml:space="preserve">Weather.</w:t>
      </w:r>
      <w:r>
        <w:t xml:space="preserve"> </w:t>
      </w:r>
      <w:r>
        <w:t xml:space="preserve">Stations were selected by scoring 44 candidates against TABULA’s published monthly</w:t>
      </w:r>
      <w:r>
        <w:t xml:space="preserve"> </w:t>
      </w:r>
      <w:r>
        <w:t xml:space="preserve">temperatures. The UK selection margin between the two best candidates was 0.002 K. The choice is worth 5 to</w:t>
      </w:r>
      <w:r>
        <w:t xml:space="preserve"> </w:t>
      </w:r>
      <w:r>
        <w:t xml:space="preserve">11 per cent of heating demand.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s8.-the-schedule-clock-correction"/>
    <w:p>
      <w:pPr>
        <w:pStyle w:val="Heading2"/>
      </w:pPr>
      <w:r>
        <w:t xml:space="preserve">S8. The schedule clock correction</w:t>
      </w:r>
    </w:p>
    <w:p>
      <w:pPr>
        <w:pStyle w:val="FirstParagraph"/>
      </w:pPr>
      <w:r>
        <w:t xml:space="preserve">Harmonisation places every diary on a 04:00 day start, the native start of two of the three surveys. The</w:t>
      </w:r>
      <w:r>
        <w:t xml:space="preserve"> </w:t>
      </w:r>
      <w:r>
        <w:t xml:space="preserve">schedule writer emits an EnergyPlus</w:t>
      </w:r>
      <w:r>
        <w:t xml:space="preserve"> </w:t>
      </w:r>
      <w:r>
        <w:rPr>
          <w:rStyle w:val="VerbatimChar"/>
        </w:rPr>
        <w:t xml:space="preserve">Schedule:File</w:t>
      </w:r>
      <w:r>
        <w:t xml:space="preserve"> </w:t>
      </w:r>
      <w:r>
        <w:t xml:space="preserve">whose first value carries no time-of-day field, and</w:t>
      </w:r>
      <w:r>
        <w:t xml:space="preserve"> </w:t>
      </w:r>
      <w:r>
        <w:t xml:space="preserve">EnergyPlus reads that first value as midnight. Every one of the 13,108 simulations in the first archetype</w:t>
      </w:r>
      <w:r>
        <w:t xml:space="preserve"> </w:t>
      </w:r>
      <w:r>
        <w:t xml:space="preserve">campaign therefore applied its occupancy signal four hours early. The fix is a single cyclic rotation of the</w:t>
      </w:r>
      <w:r>
        <w:t xml:space="preserve"> </w:t>
      </w:r>
      <w:r>
        <w:t xml:space="preserve">whole annual series, applied before any perturbation. It was verified three ways: a bit-identical</w:t>
      </w:r>
      <w:r>
        <w:t xml:space="preserve"> </w:t>
      </w:r>
      <w:r>
        <w:t xml:space="preserve">reproduction of the old result with rotation disabled; agreement with an independently written</w:t>
      </w:r>
      <w:r>
        <w:t xml:space="preserve"> </w:t>
      </w:r>
      <w:r>
        <w:t xml:space="preserve">implementation in the end-use step on all 8,760 hourly values of 100 dwellings; and a byte-identical re-run</w:t>
      </w:r>
      <w:r>
        <w:t xml:space="preserve"> </w:t>
      </w:r>
      <w:r>
        <w:t xml:space="preserve">of a schedule-free control. All 13,108 runs were then re-executed, and no pre-rotation number is used.</w:t>
      </w:r>
    </w:p>
    <w:p>
      <w:pPr>
        <w:pStyle w:val="BodyText"/>
      </w:pPr>
      <w:r>
        <w:t xml:space="preserve">After rotation, the occupancy effect on annual heating is negative in every fold at every level of</w:t>
      </w:r>
      <w:r>
        <w:t xml:space="preserve"> </w:t>
      </w:r>
      <m:oMath>
        <m:r>
          <m:t>f</m:t>
        </m:r>
      </m:oMath>
      <w:r>
        <w:t xml:space="preserve">, and</w:t>
      </w:r>
      <w:r>
        <w:t xml:space="preserve"> </w:t>
      </w:r>
      <w:r>
        <w:t xml:space="preserve">the peak effect falls below the between-diary spread in all three folds. The ordering across dwelling</w:t>
      </w:r>
      <w:r>
        <w:t xml:space="preserve"> </w:t>
      </w:r>
      <w:r>
        <w:t xml:space="preserve">classes is the same before and after the correction.</w:t>
      </w:r>
    </w:p>
    <w:p>
      <w:pPr>
        <w:pStyle w:val="BodyText"/>
      </w:pPr>
      <w:r>
        <w:t xml:space="preserve">The gain conservation of Eq. (3) of the main text is enforced in the schedule emitter and was measured. One</w:t>
      </w:r>
      <w:r>
        <w:t xml:space="preserve"> </w:t>
      </w:r>
      <w:r>
        <w:t xml:space="preserve">build held the annual mean to within four parts in ten million of the reference value rather than exactly,</w:t>
      </w:r>
      <w:r>
        <w:t xml:space="preserve"> </w:t>
      </w:r>
      <w:r>
        <w:t xml:space="preserve">because the multiplier had been written to six decimal places; the check that found it is now a guard.</w:t>
      </w:r>
    </w:p>
    <w:p>
      <w:r>
        <w:pict>
          <v:rect style="width:0;height:1.5pt" o:hralign="center" o:hrstd="t" o:hr="t"/>
        </w:pict>
      </w:r>
    </w:p>
    <w:bookmarkEnd w:id="71"/>
    <w:bookmarkStart w:id="72" w:name="s9.-the-observed-stock-campaigns"/>
    <w:p>
      <w:pPr>
        <w:pStyle w:val="Heading2"/>
      </w:pPr>
      <w:r>
        <w:t xml:space="preserve">S9. The observed-stock campaigns</w:t>
      </w:r>
    </w:p>
    <w:p>
      <w:pPr>
        <w:pStyle w:val="FirstParagraph"/>
      </w:pPr>
      <w:r>
        <w:rPr>
          <w:b/>
          <w:bCs/>
        </w:rPr>
        <w:t xml:space="preserve">Heating campaign.</w:t>
      </w:r>
      <w:r>
        <w:t xml:space="preserve"> </w:t>
      </w:r>
      <w:r>
        <w:t xml:space="preserve">This campaign applies a subdivision rule under which a floor plate divides into</w:t>
      </w:r>
      <w:r>
        <w:t xml:space="preserve"> </w:t>
      </w:r>
      <w:r>
        <w:t xml:space="preserve">dwellings only, every square metre belongs to a flat, nothing is narrower than two metres, and one flat is</w:t>
      </w:r>
      <w:r>
        <w:t xml:space="preserve"> </w:t>
      </w:r>
      <w:r>
        <w:t xml:space="preserve">one thermal zone. It covers 3,529 buildings and 31,591 dwellings in districts of Madrid, Bologna and London,</w:t>
      </w:r>
      <w:r>
        <w:t xml:space="preserve"> </w:t>
      </w:r>
      <w:r>
        <w:t xml:space="preserve">with 35,090 completed simulation cells (Madrid 11,340, Bologna 11,680, London 12,070). Building footprints,</w:t>
      </w:r>
      <w:r>
        <w:t xml:space="preserve"> </w:t>
      </w:r>
      <w:r>
        <w:t xml:space="preserve">construction years and dwelling counts come from national open registries, and each building carries the</w:t>
      </w:r>
      <w:r>
        <w:t xml:space="preserve"> </w:t>
      </w:r>
      <w:r>
        <w:t xml:space="preserve">archetype identifier emitted by the stock pipeline. Its checks were scored after the results of this paper</w:t>
      </w:r>
      <w:r>
        <w:t xml:space="preserve"> </w:t>
      </w:r>
      <w:r>
        <w:t xml:space="preserve">were fixed. That scoring found that, in a small number of cells, dwellings holding different diaries</w:t>
      </w:r>
      <w:r>
        <w:t xml:space="preserve"> </w:t>
      </w:r>
      <w:r>
        <w:t xml:space="preserve">produced byte-identical internal-gain series. No scored result from this campaign is used in the paper. In</w:t>
      </w:r>
      <w:r>
        <w:t xml:space="preserve"> </w:t>
      </w:r>
      <w:r>
        <w:t xml:space="preserve">Madrid, 170 cells in 17 buildings did not complete and were not repaired. Three courtyard buildings in</w:t>
      </w:r>
      <w:r>
        <w:t xml:space="preserve"> </w:t>
      </w:r>
      <w:r>
        <w:t xml:space="preserve">Bologna are outside what this subdivision method can simulate. A Lyon district was kept in the wider project</w:t>
      </w:r>
      <w:r>
        <w:t xml:space="preserve"> </w:t>
      </w:r>
      <w:r>
        <w:t xml:space="preserve">as a physical baseline only and is never a denominator for any result.</w:t>
      </w:r>
    </w:p>
    <w:p>
      <w:pPr>
        <w:pStyle w:val="BodyText"/>
      </w:pPr>
      <w:r>
        <w:rPr>
          <w:b/>
          <w:bCs/>
        </w:rPr>
        <w:t xml:space="preserve">Earlier layout (410 cells).</w:t>
      </w:r>
      <w:r>
        <w:t xml:space="preserve"> </w:t>
      </w:r>
      <w:r>
        <w:t xml:space="preserve">An earlier campaign of 410 cells, with a different subdivision layout, is</w:t>
      </w:r>
      <w:r>
        <w:t xml:space="preserve"> </w:t>
      </w:r>
      <w:r>
        <w:t xml:space="preserve">kept as a method and reproducibility record (S7.6). Two of its provenance links are missing: five manifest</w:t>
      </w:r>
      <w:r>
        <w:t xml:space="preserve"> </w:t>
      </w:r>
      <w:r>
        <w:t xml:space="preserve">fields are written on zero of the 410 cells, and the rotation declaration is absent from every cell</w:t>
      </w:r>
      <w:r>
        <w:t xml:space="preserve"> </w:t>
      </w:r>
      <w:r>
        <w:t xml:space="preserve">manifest, although the convention is declared correctly upstream. Neither was written retroactively.</w:t>
      </w:r>
    </w:p>
    <w:p>
      <w:pPr>
        <w:pStyle w:val="BodyText"/>
      </w:pPr>
      <w:r>
        <w:rPr>
          <w:b/>
          <w:bCs/>
        </w:rPr>
        <w:t xml:space="preserve">Stock-scale end use.</w:t>
      </w:r>
      <w:r>
        <w:t xml:space="preserve"> </w:t>
      </w:r>
      <w:r>
        <w:t xml:space="preserve">The appliance and hot-water model runs on two districts, 7,602 flats in 1,200</w:t>
      </w:r>
      <w:r>
        <w:t xml:space="preserve"> </w:t>
      </w:r>
      <w:r>
        <w:t xml:space="preserve">London buildings and 29,902 flats in 1,126 Bologna buildings. Forty-nine buildings carrying floor-averaged</w:t>
      </w:r>
      <w:r>
        <w:t xml:space="preserve"> </w:t>
      </w:r>
      <w:r>
        <w:t xml:space="preserve">rather than per-flat diaries are excluded, never scored and never estimated.</w:t>
      </w:r>
    </w:p>
    <w:p>
      <w:r>
        <w:pict>
          <v:rect style="width:0;height:1.5pt" o:hralign="center" o:hrstd="t" o:hr="t"/>
        </w:pict>
      </w:r>
    </w:p>
    <w:bookmarkEnd w:id="72"/>
    <w:bookmarkStart w:id="73" w:name="s10.-validation-conventions"/>
    <w:p>
      <w:pPr>
        <w:pStyle w:val="Heading2"/>
      </w:pPr>
      <w:r>
        <w:t xml:space="preserve">S10. Validation conventions</w:t>
      </w:r>
    </w:p>
    <w:p>
      <w:pPr>
        <w:pStyle w:val="FirstParagraph"/>
      </w:pPr>
      <w:r>
        <w:t xml:space="preserve">Every threshold is registered with its provenance marked as published, project-chosen or heuristic (S1).</w:t>
      </w:r>
      <w:r>
        <w:t xml:space="preserve"> </w:t>
      </w:r>
      <w:r>
        <w:t xml:space="preserve">Where a threshold carries no external authority, the verdict is kept and the missing provenance is stated.</w:t>
      </w:r>
    </w:p>
    <w:p>
      <w:pPr>
        <w:pStyle w:val="BodyText"/>
      </w:pPr>
      <w:r>
        <w:t xml:space="preserve">Every check is paired with a fault-injection test: a deliberately injected fault must be detected by the</w:t>
      </w:r>
      <w:r>
        <w:t xml:space="preserve"> </w:t>
      </w:r>
      <w:r>
        <w:t xml:space="preserve">check that targets it before the check’s passing verdict is trusted. The coverage summary distinguishes</w:t>
      </w:r>
      <w:r>
        <w:t xml:space="preserve"> </w:t>
      </w:r>
      <w:r>
        <w:t xml:space="preserve">three states: a check that passed and was seen to detect the injected fault; a check that passed but whose</w:t>
      </w:r>
      <w:r>
        <w:t xml:space="preserve"> </w:t>
      </w:r>
      <w:r>
        <w:t xml:space="preserve">detection could not be demonstrated; and a check that already fell short at baseline and therefore cannot</w:t>
      </w:r>
      <w:r>
        <w:t xml:space="preserve"> </w:t>
      </w:r>
      <w:r>
        <w:t xml:space="preserve">demonstrate detection. Results of the third kind are reported as already unmet, not as detections.</w:t>
      </w:r>
    </w:p>
    <w:p>
      <w:pPr>
        <w:pStyle w:val="BodyText"/>
      </w:pPr>
      <w:r>
        <w:t xml:space="preserve">Three further conventions apply. A check that returns a verdict on zero rows reports that it is not</w:t>
      </w:r>
      <w:r>
        <w:t xml:space="preserve"> </w:t>
      </w:r>
      <w:r>
        <w:t xml:space="preserve">evaluable, not that it passed. A check whose reference cannot be obtained reports as not checked; two such</w:t>
      </w:r>
      <w:r>
        <w:t xml:space="preserve"> </w:t>
      </w:r>
      <w:r>
        <w:t xml:space="preserve">appear in this work, both citation checks requiring network access. And authorisation to run a campaign is</w:t>
      </w:r>
      <w:r>
        <w:t xml:space="preserve"> </w:t>
      </w:r>
      <w:r>
        <w:t xml:space="preserve">not authorisation to read it as a scored result: the tooling emits no scored verdict until a second,</w:t>
      </w:r>
      <w:r>
        <w:t xml:space="preserve"> </w:t>
      </w:r>
      <w:r>
        <w:t xml:space="preserve">separate authorisation is recorded.</w:t>
      </w:r>
    </w:p>
    <w:p>
      <w:pPr>
        <w:pStyle w:val="BodyText"/>
      </w:pPr>
      <w:r>
        <w:t xml:space="preserve">Five practical lessons follow from this study. A check scores a quantity and also detects a class of fault,</w:t>
      </w:r>
      <w:r>
        <w:t xml:space="preserve"> </w:t>
      </w:r>
      <w:r>
        <w:t xml:space="preserve">so retiring it for the first reason also retires the second; when the per-person hot-water check became</w:t>
      </w:r>
      <w:r>
        <w:t xml:space="preserve"> </w:t>
      </w:r>
      <w:r>
        <w:t xml:space="preserve">informational, a replacement detector had to be built. A crash is not a partial result: a self-test that</w:t>
      </w:r>
      <w:r>
        <w:t xml:space="preserve"> </w:t>
      </w:r>
      <w:r>
        <w:t xml:space="preserve">raised an exception made every later fault unreachable while the summary still looked populated. An empty</w:t>
      </w:r>
      <w:r>
        <w:t xml:space="preserve"> </w:t>
      </w:r>
      <w:r>
        <w:t xml:space="preserve">population has not been satisfied; several checks returned passes on zero rows before they were taught to</w:t>
      </w:r>
      <w:r>
        <w:t xml:space="preserve"> </w:t>
      </w:r>
      <w:r>
        <w:t xml:space="preserve">report that they were not evaluable. A re-run that reproduces the previous answer exactly may mean the fix</w:t>
      </w:r>
      <w:r>
        <w:t xml:space="preserve"> </w:t>
      </w:r>
      <w:r>
        <w:t xml:space="preserve">did not reach the tool; a bit-identical result across nine thousand simulations was traced to a script that</w:t>
      </w:r>
      <w:r>
        <w:t xml:space="preserve"> </w:t>
      </w:r>
      <w:r>
        <w:t xml:space="preserve">bypassed the emitter. And the check itself can be the faulty artefact: a multiplier inert against a zero</w:t>
      </w:r>
      <w:r>
        <w:t xml:space="preserve"> </w:t>
      </w:r>
      <w:r>
        <w:t xml:space="preserve">denominator, a first-match histogram that read like a diagnosis, and a parser blind to the only object shape</w:t>
      </w:r>
      <w:r>
        <w:t xml:space="preserve"> </w:t>
      </w:r>
      <w:r>
        <w:t xml:space="preserve">it would meet were all found by asking what the instrument was doing.</w:t>
      </w:r>
    </w:p>
    <w:p>
      <w:r>
        <w:pict>
          <v:rect style="width:0;height:1.5pt" o:hralign="center" o:hrstd="t" o:hr="t"/>
        </w:pict>
      </w:r>
    </w:p>
    <w:bookmarkEnd w:id="73"/>
    <w:bookmarkStart w:id="74" w:name="s11.-limitations-in-full"/>
    <w:p>
      <w:pPr>
        <w:pStyle w:val="Heading2"/>
      </w:pPr>
      <w:r>
        <w:t xml:space="preserve">S11. Limitations in full</w:t>
      </w:r>
    </w:p>
    <w:p>
      <w:pPr>
        <w:pStyle w:val="FirstParagraph"/>
      </w:pPr>
      <w:r>
        <w:rPr>
          <w:b/>
          <w:bCs/>
        </w:rPr>
        <w:t xml:space="preserve">Corpus size.</w:t>
      </w:r>
      <w:r>
        <w:t xml:space="preserve"> </w:t>
      </w:r>
      <w:r>
        <w:t xml:space="preserve">The corpus is three countries with one wave each, and every fold trains on two. What was</w:t>
      </w:r>
      <w:r>
        <w:t xml:space="preserve"> </w:t>
      </w:r>
      <w:r>
        <w:t xml:space="preserve">measured is that a model fine-tuned on two European countries does not beat a donor pool drawn from those</w:t>
      </w:r>
      <w:r>
        <w:t xml:space="preserve"> </w:t>
      </w:r>
      <w:r>
        <w:t xml:space="preserve">same two countries. Whether the same model trained on eight or twenty source countries would beat the same</w:t>
      </w:r>
      <w:r>
        <w:t xml:space="preserve"> </w:t>
      </w:r>
      <w:r>
        <w:t xml:space="preserve">baseline is not measured. The author searched survey statistics, small-area estimation, spatial</w:t>
      </w:r>
      <w:r>
        <w:t xml:space="preserve"> </w:t>
      </w:r>
      <w:r>
        <w:t xml:space="preserve">microsimulation and the domain-generalisation literature for a published floor on the number of source</w:t>
      </w:r>
      <w:r>
        <w:t xml:space="preserve"> </w:t>
      </w:r>
      <w:r>
        <w:t xml:space="preserve">populations below which cross-population transfer is not expected to succeed, and found none stated as a</w:t>
      </w:r>
      <w:r>
        <w:t xml:space="preserve"> </w:t>
      </w:r>
      <w:r>
        <w:t xml:space="preserve">rule (search of 2026-09-13). The study cannot defend its result by pointing to such a threshold, and the</w:t>
      </w:r>
      <w:r>
        <w:t xml:space="preserve"> </w:t>
      </w:r>
      <w:r>
        <w:t xml:space="preserve">result cannot be dismissed by pointing to one. Identifiability results for invariant-risk estimators bound</w:t>
      </w:r>
      <w:r>
        <w:t xml:space="preserve"> </w:t>
      </w:r>
      <w:r>
        <w:t xml:space="preserve">the number of training environments needed to separate invariant from environment-specific structure, but</w:t>
      </w:r>
      <w:r>
        <w:t xml:space="preserve"> </w:t>
      </w:r>
      <w:r>
        <w:t xml:space="preserve">they apply to estimators with an explicit invariance objective. The model here is a low-rank adapter</w:t>
      </w:r>
      <w:r>
        <w:t xml:space="preserve"> </w:t>
      </w:r>
      <w:r>
        <w:t xml:space="preserve">trained by next-token prediction, with no such objective.</w:t>
      </w:r>
    </w:p>
    <w:p>
      <w:pPr>
        <w:pStyle w:val="BodyText"/>
      </w:pPr>
      <w:r>
        <w:rPr>
          <w:b/>
          <w:bCs/>
        </w:rPr>
        <w:t xml:space="preserve">In-sample shortfall.</w:t>
      </w:r>
      <w:r>
        <w:t xml:space="preserve"> </w:t>
      </w:r>
      <w:r>
        <w:t xml:space="preserve">The held-in check does not clear its bar on any of the six training-country cells</w:t>
      </w:r>
      <w:r>
        <w:t xml:space="preserve"> </w:t>
      </w:r>
      <w:r>
        <w:t xml:space="preserve">(Table S2). The shortfall is therefore not confined to transfer.</w:t>
      </w:r>
    </w:p>
    <w:p>
      <w:pPr>
        <w:pStyle w:val="BodyText"/>
      </w:pPr>
      <w:r>
        <w:rPr>
          <w:b/>
          <w:bCs/>
        </w:rPr>
        <w:t xml:space="preserve">Survey year.</w:t>
      </w:r>
      <w:r>
        <w:t xml:space="preserve"> </w:t>
      </w:r>
      <w:r>
        <w:t xml:space="preserve">The three waves are 2009-10, 2013-14 and 2014-15, so survey year is confounded with</w:t>
      </w:r>
      <w:r>
        <w:t xml:space="preserve"> </w:t>
      </w:r>
      <w:r>
        <w:t xml:space="preserve">country, and therefore with the leave-one-country-out split.</w:t>
      </w:r>
    </w:p>
    <w:p>
      <w:pPr>
        <w:pStyle w:val="BodyText"/>
      </w:pPr>
      <w:r>
        <w:rPr>
          <w:b/>
          <w:bCs/>
        </w:rPr>
        <w:t xml:space="preserve">The conditioning vector.</w:t>
      </w:r>
      <w:r>
        <w:t xml:space="preserve"> </w:t>
      </w:r>
      <w:r>
        <w:t xml:space="preserve">The model receives demographic margins: age, sex, economic status, household</w:t>
      </w:r>
      <w:r>
        <w:t xml:space="preserve"> </w:t>
      </w:r>
      <w:r>
        <w:t xml:space="preserve">structure and day type. What separates a Spanish weekday from a UK one is largely not demographic: the hour</w:t>
      </w:r>
      <w:r>
        <w:t xml:space="preserve"> </w:t>
      </w:r>
      <w:r>
        <w:t xml:space="preserve">the working day ends, the hour of the main meal, school and shop hours, latitude and the time of sunset.</w:t>
      </w:r>
      <w:r>
        <w:t xml:space="preserve"> </w:t>
      </w:r>
      <w:r>
        <w:t xml:space="preserve">None of that can be recovered from age and employment tables. The appliance-timing results are consistent</w:t>
      </w:r>
      <w:r>
        <w:t xml:space="preserve"> </w:t>
      </w:r>
      <w:r>
        <w:t xml:space="preserve">with this: real diaries carry country timing, and neither synthetic source does. This limits the design,</w:t>
      </w:r>
      <w:r>
        <w:t xml:space="preserve"> </w:t>
      </w:r>
      <w:r>
        <w:t xml:space="preserve">not the comparison, because the raked donor pool received the same margins and no more.</w:t>
      </w:r>
    </w:p>
    <w:p>
      <w:pPr>
        <w:pStyle w:val="BodyText"/>
      </w:pPr>
      <w:r>
        <w:rPr>
          <w:b/>
          <w:bCs/>
        </w:rPr>
        <w:t xml:space="preserve">Survey and frame.</w:t>
      </w:r>
      <w:r>
        <w:t xml:space="preserve"> </w:t>
      </w:r>
      <w:r>
        <w:t xml:space="preserve">The study inherits the coverage and non-response of three national surveys. People in</w:t>
      </w:r>
      <w:r>
        <w:t xml:space="preserve"> </w:t>
      </w:r>
      <w:r>
        <w:t xml:space="preserve">institutions, people without housing and hotel guests are outside the sampling frame. Respondents give one</w:t>
      </w:r>
      <w:r>
        <w:t xml:space="preserve"> </w:t>
      </w:r>
      <w:r>
        <w:t xml:space="preserve">or two diary days each, so multi-day dependence is largely unobservable. The three files target different</w:t>
      </w:r>
      <w:r>
        <w:t xml:space="preserve"> </w:t>
      </w:r>
      <w:r>
        <w:t xml:space="preserve">diary-day bases; every diary is reweighted to the calendar week. The Italian fold is scored against a</w:t>
      </w:r>
      <w:r>
        <w:t xml:space="preserve"> </w:t>
      </w:r>
      <w:r>
        <w:t xml:space="preserve">published aggregate from a different survey round than its microdata. The UK household-type cell coded</w:t>
      </w:r>
      <w:r>
        <w:t xml:space="preserve"> </w:t>
      </w:r>
      <w:r>
        <w:t xml:space="preserve">unknown covers 551 diaries, 3.5 per cent of that fold, and no generated diary can carry it because the</w:t>
      </w:r>
      <w:r>
        <w:t xml:space="preserve"> </w:t>
      </w:r>
      <w:r>
        <w:t xml:space="preserve">census has no such category; dropping the cell moves whole-fold MAE by 0.158 minutes per day. Spain’s</w:t>
      </w:r>
      <w:r>
        <w:t xml:space="preserve"> </w:t>
      </w:r>
      <w:r>
        <w:t xml:space="preserve">synthetic population has no homemaker category, and day type is assigned by calendar week. Sex is a</w:t>
      </w:r>
      <w:r>
        <w:t xml:space="preserve"> </w:t>
      </w:r>
      <w:r>
        <w:t xml:space="preserve">conditioning stratum and is not analysed separately.</w:t>
      </w:r>
    </w:p>
    <w:p>
      <w:pPr>
        <w:pStyle w:val="BodyText"/>
      </w:pPr>
      <w:r>
        <w:rPr>
          <w:b/>
          <w:bCs/>
        </w:rPr>
        <w:t xml:space="preserve">Pretrained prior.</w:t>
      </w:r>
      <w:r>
        <w:t xml:space="preserve"> </w:t>
      </w:r>
      <w:r>
        <w:t xml:space="preserve">A pretrained backbone has read very different amounts of text about Spain, Italy and</w:t>
      </w:r>
      <w:r>
        <w:t xml:space="preserve"> </w:t>
      </w:r>
      <w:r>
        <w:t xml:space="preserve">the UK, in different languages and from different periods. Nothing in the design separates what fine-tuning</w:t>
      </w:r>
      <w:r>
        <w:t xml:space="preserve"> </w:t>
      </w:r>
      <w:r>
        <w:t xml:space="preserve">taught about a country from what pretraining already contained. This confound was pre-registered and is</w:t>
      </w:r>
      <w:r>
        <w:t xml:space="preserve"> </w:t>
      </w:r>
      <w:r>
        <w:t xml:space="preserve">unresolved. In a leave-one-country-out design it is aligned with the split by construction.</w:t>
      </w:r>
    </w:p>
    <w:p>
      <w:pPr>
        <w:pStyle w:val="BodyText"/>
      </w:pPr>
      <w:r>
        <w:rPr>
          <w:b/>
          <w:bCs/>
        </w:rPr>
        <w:t xml:space="preserve">Constrained decoding.</w:t>
      </w:r>
      <w:r>
        <w:t xml:space="preserve"> </w:t>
      </w:r>
      <w:r>
        <w:t xml:space="preserve">Renormalising the sampling distribution over the allowed tokens changes the</w:t>
      </w:r>
      <w:r>
        <w:t xml:space="preserve"> </w:t>
      </w:r>
      <w:r>
        <w:t xml:space="preserve">distribution being sampled. The neutrality check misses its tolerance in all three folds at parity sample</w:t>
      </w:r>
      <w:r>
        <w:t xml:space="preserve"> </w:t>
      </w:r>
      <w:r>
        <w:t xml:space="preserve">size, and the direction of the resulting bias is not quantified. Generated output is never raked, because</w:t>
      </w:r>
      <w:r>
        <w:t xml:space="preserve"> </w:t>
      </w:r>
      <w:r>
        <w:t xml:space="preserve">raking would close the marginal gap by construction and the agreement would measure the raking.</w:t>
      </w:r>
    </w:p>
    <w:p>
      <w:pPr>
        <w:pStyle w:val="BodyText"/>
      </w:pPr>
      <w:r>
        <w:rPr>
          <w:b/>
          <w:bCs/>
        </w:rPr>
        <w:t xml:space="preserve">Training seeds.</w:t>
      </w:r>
      <w:r>
        <w:t xml:space="preserve"> </w:t>
      </w:r>
      <w:r>
        <w:t xml:space="preserve">Each model was trained with one seed. The seed-to-seed probe on frozen weights measures</w:t>
      </w:r>
      <w:r>
        <w:t xml:space="preserve"> </w:t>
      </w:r>
      <w:r>
        <w:t xml:space="preserve">generation noise only.</w:t>
      </w:r>
    </w:p>
    <w:p>
      <w:pPr>
        <w:pStyle w:val="BodyText"/>
      </w:pPr>
      <w:r>
        <w:rPr>
          <w:b/>
          <w:bCs/>
        </w:rPr>
        <w:t xml:space="preserve">Energy claims.</w:t>
      </w:r>
      <w:r>
        <w:t xml:space="preserve"> </w:t>
      </w:r>
      <w:r>
        <w:t xml:space="preserve">Every energy-use intensity is heating-only and may not be compared with a whole-building</w:t>
      </w:r>
      <w:r>
        <w:t xml:space="preserve"> </w:t>
      </w:r>
      <w:r>
        <w:t xml:space="preserve">or measured total. No cross-country comparison of absolute demand is safe at the ten per cent level, because</w:t>
      </w:r>
      <w:r>
        <w:t xml:space="preserve"> </w:t>
      </w:r>
      <w:r>
        <w:t xml:space="preserve">the weather file alone is worth 5 to 11 per cent of heating demand and its sign differs by fold. Every</w:t>
      </w:r>
      <w:r>
        <w:t xml:space="preserve"> </w:t>
      </w:r>
      <w:r>
        <w:t xml:space="preserve">cross-fold claim is therefore about timing, shape or ordering. Absolute intensities from the archetype and</w:t>
      </w:r>
      <w:r>
        <w:t xml:space="preserve"> </w:t>
      </w:r>
      <w:r>
        <w:t xml:space="preserve">observed-stock campaigns are never placed side by side or differenced. The sensitivity design holds annual</w:t>
      </w:r>
      <w:r>
        <w:t xml:space="preserve"> </w:t>
      </w:r>
      <w:r>
        <w:t xml:space="preserve">internal gain fixed, so it can redistribute gain in time but never add or remove energy over a year. Each</w:t>
      </w:r>
      <w:r>
        <w:t xml:space="preserve"> </w:t>
      </w:r>
      <w:r>
        <w:t xml:space="preserve">dwelling is one thermal zone, so the study can say when gains move but not where in a dwelling. The UK</w:t>
      </w:r>
      <w:r>
        <w:t xml:space="preserve"> </w:t>
      </w:r>
      <w:r>
        <w:t xml:space="preserve">archetypes are parameterised from England’s typology.</w:t>
      </w:r>
    </w:p>
    <w:p>
      <w:pPr>
        <w:pStyle w:val="BodyText"/>
      </w:pPr>
      <w:r>
        <w:rPr>
          <w:b/>
          <w:bCs/>
        </w:rPr>
        <w:t xml:space="preserve">Per-dwelling claims and the appliance model.</w:t>
      </w:r>
      <w:r>
        <w:t xml:space="preserve"> </w:t>
      </w:r>
      <w:r>
        <w:t xml:space="preserve">No per-dwelling prediction is made at any scale. Moving</w:t>
      </w:r>
      <w:r>
        <w:t xml:space="preserve"> </w:t>
      </w:r>
      <w:r>
        <w:t xml:space="preserve">from archetypes to tens of thousands of real buildings raises confidence in an aggregate and does nothing</w:t>
      </w:r>
      <w:r>
        <w:t xml:space="preserve"> </w:t>
      </w:r>
      <w:r>
        <w:t xml:space="preserve">for an individual household. The trigger fires from the primary recorded activity only, so a load recorded</w:t>
      </w:r>
      <w:r>
        <w:t xml:space="preserve"> </w:t>
      </w:r>
      <w:r>
        <w:t xml:space="preserve">only as a secondary activity is invisible to it; the total of such loads has no published bound. The</w:t>
      </w:r>
      <w:r>
        <w:t xml:space="preserve"> </w:t>
      </w:r>
      <w:r>
        <w:t xml:space="preserve">ownership shares are from the UK and about two decades old and are applied unchanged to Spain and Italy, so no</w:t>
      </w:r>
      <w:r>
        <w:t xml:space="preserve"> </w:t>
      </w:r>
      <w:r>
        <w:t xml:space="preserve">ownership-dependent quantity should be read as country-specific. The real-diary pool behind the appliance</w:t>
      </w:r>
      <w:r>
        <w:t xml:space="preserve"> </w:t>
      </w:r>
      <w:r>
        <w:t xml:space="preserve">timing is unweighted. Each appliance run covers 100 dwellings for one year with one seed, so the peak hour</w:t>
      </w:r>
      <w:r>
        <w:t xml:space="preserve"> </w:t>
      </w:r>
      <w:r>
        <w:t xml:space="preserve">carries no interval, and the peaks are flat-topped. Timing is checked against real diaries through the same</w:t>
      </w:r>
      <w:r>
        <w:t xml:space="preserve"> </w:t>
      </w:r>
      <w:r>
        <w:t xml:space="preserve">model, not against measured national load profiles, so the result concerns appliance timing, not load</w:t>
      </w:r>
      <w:r>
        <w:t xml:space="preserve"> </w:t>
      </w:r>
      <w:r>
        <w:t xml:space="preserve">shape. The hot-water comparison is a denominator mismatch and is reported neither as a model limitation</w:t>
      </w:r>
      <w:r>
        <w:t xml:space="preserve"> </w:t>
      </w:r>
      <w:r>
        <w:t xml:space="preserve">nor as a pass.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Reproduction gives the same statistics, not the same bytes, and this was measured.</w:t>
      </w:r>
      <w:r>
        <w:t xml:space="preserve"> </w:t>
      </w:r>
      <w:r>
        <w:t xml:space="preserve">Results from the observed-stock campaign are numerically stable rather than bitwise reproducible. Merged and</w:t>
      </w:r>
      <w:r>
        <w:t xml:space="preserve"> </w:t>
      </w:r>
      <w:r>
        <w:t xml:space="preserve">unmerged adapters produce measurably different populations, and no intermediate artefact records which of</w:t>
      </w:r>
      <w:r>
        <w:t xml:space="preserve"> </w:t>
      </w:r>
      <w:r>
        <w:t xml:space="preserve">the two produced it.</w:t>
      </w:r>
    </w:p>
    <w:p>
      <w:pPr>
        <w:pStyle w:val="BodyText"/>
      </w:pPr>
      <w:r>
        <w:rPr>
          <w:b/>
          <w:bCs/>
        </w:rPr>
        <w:t xml:space="preserve">Release.</w:t>
      </w:r>
      <w:r>
        <w:t xml:space="preserve"> </w:t>
      </w:r>
      <w:r>
        <w:t xml:space="preserve">The adapter weights are not released. The decision was taken before training, on the terms of</w:t>
      </w:r>
      <w:r>
        <w:t xml:space="preserve"> </w:t>
      </w:r>
      <w:r>
        <w:t xml:space="preserve">the data agreements rather than any model licence, and is reinforced by the membership-inference result.</w:t>
      </w:r>
      <w:r>
        <w:t xml:space="preserve"> </w:t>
      </w:r>
      <w:r>
        <w:t xml:space="preserve">The UK synthetic population is withheld with the weights. The Spanish and Italian synthetic populations,</w:t>
      </w:r>
      <w:r>
        <w:t xml:space="preserve"> </w:t>
      </w:r>
      <w:r>
        <w:t xml:space="preserve">the code, the check implementations and the frozen pre-registration file are available as stated in the</w:t>
      </w:r>
      <w:r>
        <w:t xml:space="preserve"> </w:t>
      </w:r>
      <w:r>
        <w:t xml:space="preserve">data availability statement. The archetypes are this study’s own construction from TABULA parameters and</w:t>
      </w:r>
      <w:r>
        <w:t xml:space="preserve"> </w:t>
      </w:r>
      <w:r>
        <w:t xml:space="preserve">are not an official TABULA product. The author’s institution is not a Eurostat-recognised research entity;</w:t>
      </w:r>
      <w:r>
        <w:t xml:space="preserve"> </w:t>
      </w:r>
      <w:r>
        <w:t xml:space="preserve">an enquiry was sent on 2026-08-26 and had received no reply when this material was prepared.</w:t>
      </w:r>
    </w:p>
    <w:p>
      <w:pPr>
        <w:pStyle w:val="BodyText"/>
      </w:pPr>
      <w:r>
        <w:rPr>
          <w:b/>
          <w:bCs/>
        </w:rPr>
        <w:t xml:space="preserve">What should not be inferred.</w:t>
      </w:r>
      <w:r>
        <w:t xml:space="preserve"> </w:t>
      </w:r>
      <w:r>
        <w:t xml:space="preserve">The backbone comparison is two points and is not a scaling curve. The full</w:t>
      </w:r>
      <w:r>
        <w:t xml:space="preserve"> </w:t>
      </w:r>
      <w:r>
        <w:t xml:space="preserve">fine-tune is a ceiling run on one fold, and the second model family was tested on one fold. The privacy set</w:t>
      </w:r>
      <w:r>
        <w:t xml:space="preserve"> </w:t>
      </w:r>
      <w:r>
        <w:t xml:space="preserve">is not a passing audit. The memorisation control does not bound what it was built to bound, and the</w:t>
      </w:r>
      <w:r>
        <w:t xml:space="preserve"> </w:t>
      </w:r>
      <w:r>
        <w:t xml:space="preserve">perplexity gap is not independent confirmation. No scored result is taken from the larger observed-stock</w:t>
      </w:r>
      <w:r>
        <w:t xml:space="preserve"> </w:t>
      </w:r>
      <w:r>
        <w:t xml:space="preserve">campaign.</w:t>
      </w:r>
    </w:p>
    <w:p>
      <w:r>
        <w:pict>
          <v:rect style="width:0;height:1.5pt" o:hralign="center" o:hrstd="t" o:hr="t"/>
        </w:pict>
      </w:r>
    </w:p>
    <w:bookmarkEnd w:id="74"/>
    <w:bookmarkStart w:id="75" w:name="s12.-open-items-and-documentation-notes"/>
    <w:p>
      <w:pPr>
        <w:pStyle w:val="Heading2"/>
      </w:pPr>
      <w:r>
        <w:t xml:space="preserve">S12. Open items and documentation notes</w:t>
      </w:r>
    </w:p>
    <w:p>
      <w:pPr>
        <w:pStyle w:val="FirstParagraph"/>
      </w:pPr>
      <w:r>
        <w:rPr>
          <w:b/>
          <w:bCs/>
        </w:rPr>
        <w:t xml:space="preserve">One check was never adjudicated.</w:t>
      </w:r>
      <w:r>
        <w:t xml:space="preserve"> </w:t>
      </w:r>
      <w:r>
        <w:t xml:space="preserve">The within-stratum shuffle check (S1.6) ships unmet, without a decision</w:t>
      </w:r>
      <w:r>
        <w:t xml:space="preserve"> </w:t>
      </w:r>
      <w:r>
        <w:t xml:space="preserve">record. Its shuffle key omits one of the six prefix fields.</w:t>
      </w:r>
    </w:p>
    <w:p>
      <w:pPr>
        <w:pStyle w:val="BodyText"/>
      </w:pPr>
      <w:r>
        <w:rPr>
          <w:b/>
          <w:bCs/>
        </w:rPr>
        <w:t xml:space="preserve">One invariant was built but never exercised on model output.</w:t>
      </w:r>
      <w:r>
        <w:t xml:space="preserve"> </w:t>
      </w:r>
      <w:r>
        <w:t xml:space="preserve">The hour-support constancy invariant was</w:t>
      </w:r>
      <w:r>
        <w:t xml:space="preserve"> </w:t>
      </w:r>
      <w:r>
        <w:t xml:space="preserve">built, passed its self-test and detected a deliberately injected fault on real diaries, but it was never</w:t>
      </w:r>
      <w:r>
        <w:t xml:space="preserve"> </w:t>
      </w:r>
      <w:r>
        <w:t xml:space="preserve">scored against generated output. It is not counted as passed.</w:t>
      </w:r>
    </w:p>
    <w:p>
      <w:pPr>
        <w:pStyle w:val="BodyText"/>
      </w:pPr>
      <w:r>
        <w:rPr>
          <w:b/>
          <w:bCs/>
        </w:rPr>
        <w:t xml:space="preserve">Full fine-tune manifest.</w:t>
      </w:r>
      <w:r>
        <w:t xml:space="preserve"> </w:t>
      </w:r>
      <w:r>
        <w:t xml:space="preserve">The manifest shipped with the full fine-tune control describes a low-rank adapter</w:t>
      </w:r>
      <w:r>
        <w:t xml:space="preserve"> </w:t>
      </w:r>
      <w:r>
        <w:t xml:space="preserve">run, while that job’s own log records a full fine-tune with no adapter. The manifest was not edited; a</w:t>
      </w:r>
      <w:r>
        <w:t xml:space="preserve"> </w:t>
      </w:r>
      <w:r>
        <w:t xml:space="preserve">correction file sits beside it, and the numbers in this paper come from the correction file.</w:t>
      </w:r>
    </w:p>
    <w:p>
      <w:pPr>
        <w:pStyle w:val="BodyText"/>
      </w:pPr>
      <w:r>
        <w:rPr>
          <w:b/>
          <w:bCs/>
        </w:rPr>
        <w:t xml:space="preserve">Training-record label.</w:t>
      </w:r>
      <w:r>
        <w:t xml:space="preserve"> </w:t>
      </w:r>
      <w:r>
        <w:t xml:space="preserve">The comparison table in the training record labels the main model’s column with</w:t>
      </w:r>
      <w:r>
        <w:t xml:space="preserve"> </w:t>
      </w:r>
      <w:r>
        <w:t xml:space="preserve">the wrong backbone family. The manifest and the run configuration identify it correctly.</w:t>
      </w:r>
    </w:p>
    <w:p>
      <w:pPr>
        <w:pStyle w:val="BodyText"/>
      </w:pPr>
      <w:r>
        <w:rPr>
          <w:b/>
          <w:bCs/>
        </w:rPr>
        <w:t xml:space="preserve">Observed-stock campaign.</w:t>
      </w:r>
      <w:r>
        <w:t xml:space="preserve"> </w:t>
      </w:r>
      <w:r>
        <w:t xml:space="preserve">The larger observed-stock campaign ran to completion, but no scored result from</w:t>
      </w:r>
      <w:r>
        <w:t xml:space="preserve"> </w:t>
      </w:r>
      <w:r>
        <w:t xml:space="preserve">it is used (S9). In Madrid, 170 cells in 17 buildings did not complete, and three courtyard buildings in</w:t>
      </w:r>
      <w:r>
        <w:t xml:space="preserve"> </w:t>
      </w:r>
      <w:r>
        <w:t xml:space="preserve">Bologna are outside the subdivision method.</w:t>
      </w:r>
    </w:p>
    <w:bookmarkEnd w:id="75"/>
    <w:bookmarkStart w:id="76" w:name="Xad33329f333f73197fc3f6d5abe9167e400d8f1"/>
    <w:p>
      <w:pPr>
        <w:pStyle w:val="Heading2"/>
      </w:pPr>
      <w:r>
        <w:t xml:space="preserve">References cited only in the supplementary material</w:t>
      </w:r>
    </w:p>
    <w:p>
      <w:pPr>
        <w:pStyle w:val="FirstParagraph"/>
      </w:pPr>
      <w:r>
        <w:t xml:space="preserve">The supplementary material cites Eurostat (2009), Eurostat (2019) and Fuentes et al. (2018); full entries are</w:t>
      </w:r>
      <w:r>
        <w:t xml:space="preserve"> </w:t>
      </w:r>
      <w:r>
        <w:t xml:space="preserve">in the reference list of the main paper.</w:t>
      </w:r>
    </w:p>
    <w:bookmarkEnd w:id="76"/>
    <w:bookmarkEnd w:id="77"/>
    <w:sectPr>
      <w:footerReference r:id="rId31" w:type="default"/>
      <w:footnotePr>
        <w:numRestart w:val="eachSect"/>
      </w:footnotePr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 w:line="480" w:lineRule="auto"/>
    </w:pPr>
  </w:style>
  <w:style w:customStyle="1" w:styleId="FirstParagraph" w:type="paragraph">
    <w:name w:val="First Paragraph"/>
    <w:pPr>
      <w:spacing w:line="480" w:lineRule="auto"/>
    </w:pPr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 w:line="480" w:lineRule="auto"/>
    </w:pPr>
    <w:rPr>
      <w:sz w:val="20"/>
      <w:szCs w:val="20"/>
    </w:rPr>
  </w:style>
  <w:style w:styleId="Bibliography" w:type="paragraph">
    <w:name w:val="Bibliography"/>
    <w:pPr>
      <w:spacing w:line="480" w:lineRule="auto"/>
    </w:pPr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2026-09-23T23:05:38Z</dcterms:created>
  <dcterms:modified xsi:type="dcterms:W3CDTF">2026-09-23T23:05:38Z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