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A9604" w14:textId="77777777" w:rsidR="00EF02D0" w:rsidRDefault="009C0FE3" w:rsidP="009C0FE3">
      <w:pPr>
        <w:pStyle w:val="Heading1"/>
        <w:jc w:val="center"/>
      </w:pPr>
      <w:bookmarkStart w:id="0" w:name="X8bdb16f5705f0cc39cb50c21b0cefc4fb05c1f7"/>
      <w:r>
        <w:t>From "How Much" to "When": Forecasting the Residential Energy Load Shape from a Calibrated Behavioural Occupancy Time-Series (Canada, 2005–2030)</w:t>
      </w:r>
    </w:p>
    <w:p w14:paraId="15C91B49" w14:textId="77777777" w:rsidR="00EF02D0" w:rsidRDefault="009C0FE3">
      <w:pPr>
        <w:pStyle w:val="Heading2"/>
      </w:pPr>
      <w:bookmarkStart w:id="1" w:name="aim-of-the-study"/>
      <w:r>
        <w:t>A</w:t>
      </w:r>
      <w:r>
        <w:t>im of the Study</w:t>
      </w:r>
    </w:p>
    <w:p w14:paraId="5F286A4D" w14:textId="77777777" w:rsidR="00EF02D0" w:rsidRDefault="009C0FE3">
      <w:pPr>
        <w:pStyle w:val="FirstParagraph"/>
      </w:pPr>
      <w:r>
        <w:t xml:space="preserve">Energy models for buildings </w:t>
      </w:r>
      <w:r>
        <w:t xml:space="preserve">have long assumed that people's daily routines stay fixed over time. In reality, the pandemic changed not just </w:t>
      </w:r>
      <w:r>
        <w:rPr>
          <w:i/>
          <w:iCs/>
        </w:rPr>
        <w:t>how much</w:t>
      </w:r>
      <w:r>
        <w:t xml:space="preserve"> energy Canadian households use, but </w:t>
      </w:r>
      <w:r>
        <w:rPr>
          <w:i/>
          <w:iCs/>
        </w:rPr>
        <w:t>when</w:t>
      </w:r>
      <w:r>
        <w:t xml:space="preserve"> they use it — because working from home kept people home through midday hours when they used to</w:t>
      </w:r>
      <w:r>
        <w:t xml:space="preserve"> be absent. This study asks a concrete question: if we track how occupant behaviour has actually shifted from 2005 to the present and project those shifts forward to 2030, does the daily </w:t>
      </w:r>
      <w:r>
        <w:rPr>
          <w:i/>
          <w:iCs/>
        </w:rPr>
        <w:t>shape</w:t>
      </w:r>
      <w:r>
        <w:t xml:space="preserve"> of residential electricity demand change in a way that matters </w:t>
      </w:r>
      <w:r>
        <w:t>for the electricity grid?</w:t>
      </w:r>
    </w:p>
    <w:p w14:paraId="2C830150" w14:textId="77777777" w:rsidR="00EF02D0" w:rsidRDefault="009C0FE3">
      <w:pPr>
        <w:pStyle w:val="BodyText"/>
      </w:pPr>
      <w:r>
        <w:t>To answer that, the study builds a nine-step pipeline that starts with real survey data — four rounds of Statistics Canada's General Social Survey Time-Use program (64,061 household diaries recording what Canadians did in 10-minut</w:t>
      </w:r>
      <w:r>
        <w:t>e slices) — and links them to 2021 Census records to represent the actual housing stock. A machine-learning model trained on those diaries generates realistic daily schedules for 144,507 households. Those schedules are then fed into building energy simulat</w:t>
      </w:r>
      <w:r>
        <w:t>ion software (EnergyPlus) for 6,000 paired computer runs. The "paired" design is key: the same fifty households are simulated under each survey cycle, so any difference in the electricity profile is directly attributable to changes in occupant behaviour al</w:t>
      </w:r>
      <w:r>
        <w:t>one, not to differences in the houses or the weather.</w:t>
      </w:r>
    </w:p>
    <w:p w14:paraId="09675B10" w14:textId="54134EE2" w:rsidR="00EF02D0" w:rsidRDefault="009C0FE3" w:rsidP="009C0FE3">
      <w:pPr>
        <w:pStyle w:val="BodyText"/>
      </w:pPr>
      <w:r>
        <w:t>The central finding is that work-from-home adoption fills the midday lull in electricity demand and flattens the daily load curve — but the evening peak, which occurs around 17:30, stays firmly in place</w:t>
      </w:r>
      <w:r>
        <w:t xml:space="preserve">. Annual electricity use rises only modestly (+1.4 to +2.6 % across the pandemic break). What changes is </w:t>
      </w:r>
      <w:r>
        <w:rPr>
          <w:i/>
          <w:iCs/>
        </w:rPr>
        <w:t>when</w:t>
      </w:r>
      <w:r>
        <w:t xml:space="preserve"> during the day that electricity is drawn, and that timing question is precisely what matters for grid planning, demand response, and peak-load man</w:t>
      </w:r>
      <w:r>
        <w:t>agement.</w:t>
      </w:r>
    </w:p>
    <w:p w14:paraId="5D1D3314" w14:textId="16A4194E" w:rsidR="00EF02D0" w:rsidRDefault="009C0FE3">
      <w:pPr>
        <w:pStyle w:val="Heading2"/>
      </w:pPr>
      <w:bookmarkStart w:id="2" w:name="the-pipeline-at-a-glance"/>
      <w:bookmarkEnd w:id="1"/>
      <w:r>
        <w:t>T</w:t>
      </w:r>
      <w:r>
        <w:t xml:space="preserve">he Pipeline </w:t>
      </w:r>
    </w:p>
    <w:p w14:paraId="443D5DEF" w14:textId="77777777" w:rsidR="00EF02D0" w:rsidRDefault="009C0FE3">
      <w:pPr>
        <w:pStyle w:val="FirstParagraph"/>
      </w:pPr>
      <w:r>
        <w:rPr>
          <w:b/>
          <w:bCs/>
        </w:rPr>
        <w:t>Figure 1.</w:t>
      </w:r>
      <w:r>
        <w:t xml:space="preserve"> — </w:t>
      </w:r>
      <w:r>
        <w:rPr>
          <w:b/>
          <w:bCs/>
        </w:rPr>
        <w:t>End-to-end occupancy-to-energy pipeline (Steps 1–9).</w:t>
      </w:r>
      <w:r>
        <w:t xml:space="preserve"> Block schematic from the four GSS Time-Use cycles and the Census PUMF through harmonization and 30-minute diary construction, generative day-type augmentat</w:t>
      </w:r>
      <w:r>
        <w:t>ion, Census linkage, longitudinal forecasting to 2030, BEM schedule conversion, paired Monte-Carlo simulation, and activity-resolved end-use loads; each block labelled with its section number and the key validation gate it passes.</w:t>
      </w:r>
    </w:p>
    <w:p w14:paraId="0149613C" w14:textId="77777777" w:rsidR="00EF02D0" w:rsidRDefault="009C0FE3">
      <w:pPr>
        <w:pStyle w:val="BodyText"/>
      </w:pPr>
      <w:r>
        <w:rPr>
          <w:noProof/>
        </w:rPr>
        <w:lastRenderedPageBreak/>
        <w:drawing>
          <wp:inline distT="0" distB="0" distL="0" distR="0" wp14:anchorId="6D60C2B4" wp14:editId="341A5F95">
            <wp:extent cx="5334000" cy="1157121"/>
            <wp:effectExtent l="0" t="0" r="0" b="0"/>
            <wp:docPr id="11" name="Picture" descr="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../figures/Figure_01_pipelin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3F23E" w14:textId="77777777" w:rsidR="00EF02D0" w:rsidRDefault="009C0FE3">
      <w:r>
        <w:pict w14:anchorId="72D1ABDF">
          <v:rect id="_x0000_i1027" style="width:0;height:1.5pt" o:hralign="center" o:hrstd="t" o:hr="t"/>
        </w:pict>
      </w:r>
    </w:p>
    <w:p w14:paraId="60C247A7" w14:textId="6136BFA2" w:rsidR="00EF02D0" w:rsidRDefault="009C0FE3" w:rsidP="009C0FE3">
      <w:pPr>
        <w:pStyle w:val="Heading2"/>
      </w:pPr>
      <w:bookmarkStart w:id="3" w:name="results"/>
      <w:bookmarkEnd w:id="2"/>
      <w:r>
        <w:t>Results</w:t>
      </w:r>
    </w:p>
    <w:p w14:paraId="1843B9AC" w14:textId="77777777" w:rsidR="00EF02D0" w:rsidRDefault="009C0FE3">
      <w:pPr>
        <w:pStyle w:val="Heading3"/>
      </w:pPr>
      <w:bookmarkStart w:id="4" w:name="X4255e2521ae80511b4b65928eb15ee113e0b04a"/>
      <w:r>
        <w:t>5</w:t>
      </w:r>
      <w:r>
        <w:t>.1 Non-Sta</w:t>
      </w:r>
      <w:r>
        <w:t>tionarity in At-Home Occupancy</w:t>
      </w:r>
    </w:p>
    <w:p w14:paraId="7936B374" w14:textId="77777777" w:rsidR="00EF02D0" w:rsidRDefault="009C0FE3">
      <w:pPr>
        <w:pStyle w:val="FirstParagraph"/>
      </w:pPr>
      <w:r>
        <w:rPr>
          <w:b/>
          <w:bCs/>
        </w:rPr>
        <w:t>Figure 5.</w:t>
      </w:r>
      <w:r>
        <w:t xml:space="preserve"> — </w:t>
      </w:r>
      <w:r>
        <w:rPr>
          <w:b/>
          <w:bCs/>
        </w:rPr>
        <w:t>Occupancy driver: diurnal at-home shift.</w:t>
      </w:r>
      <w:r>
        <w:t xml:space="preserve"> Average fraction of households at home across the hours of the day, weekday and weekend panels, one line per survey/forecast cycle (2005–2030), with the work-from-home midd</w:t>
      </w:r>
      <w:r>
        <w:t>ay window shaded; the behavioural starting point traced into electricity demand.</w:t>
      </w:r>
    </w:p>
    <w:p w14:paraId="428F5D48" w14:textId="77777777" w:rsidR="00EF02D0" w:rsidRDefault="009C0FE3">
      <w:pPr>
        <w:pStyle w:val="BodyText"/>
      </w:pPr>
      <w:r>
        <w:rPr>
          <w:noProof/>
        </w:rPr>
        <w:drawing>
          <wp:inline distT="0" distB="0" distL="0" distR="0" wp14:anchorId="6273772D" wp14:editId="02AFE27A">
            <wp:extent cx="5334000" cy="2282012"/>
            <wp:effectExtent l="0" t="0" r="0" b="0"/>
            <wp:docPr id="15" name="Picture" descr="Fig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../figures/Figure_05_occupancy_drive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FA5B9D" w14:textId="77777777" w:rsidR="00EF02D0" w:rsidRDefault="009C0FE3">
      <w:r>
        <w:pict w14:anchorId="30900FBA">
          <v:rect id="_x0000_i1029" style="width:0;height:1.5pt" o:hralign="center" o:hrstd="t" o:hr="t"/>
        </w:pict>
      </w:r>
    </w:p>
    <w:p w14:paraId="6F99624F" w14:textId="77777777" w:rsidR="00EF02D0" w:rsidRDefault="009C0FE3">
      <w:pPr>
        <w:pStyle w:val="Heading3"/>
      </w:pPr>
      <w:bookmarkStart w:id="5" w:name="X000087ae52eed46fcf5c03e31f304778d9abd7f"/>
      <w:bookmarkEnd w:id="4"/>
      <w:r>
        <w:t>5.2 Annual Energy Magnitude and Benchmark Plausibility</w:t>
      </w:r>
    </w:p>
    <w:p w14:paraId="6A5D6D74" w14:textId="77777777" w:rsidR="00EF02D0" w:rsidRDefault="009C0FE3">
      <w:pPr>
        <w:pStyle w:val="FirstParagraph"/>
      </w:pPr>
      <w:r>
        <w:rPr>
          <w:b/>
          <w:bCs/>
        </w:rPr>
        <w:t>Table 5.</w:t>
      </w:r>
      <w:r>
        <w:t xml:space="preserve"> — Stock-weighted annual energy use intensity per archetype against the NRCan SHEU-2019 regional-average int</w:t>
      </w:r>
      <w:r>
        <w:t>ensity ranges (secondary plausibility cross-check), ordered by envelope-to-occupant ratio.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1"/>
        <w:gridCol w:w="1915"/>
        <w:gridCol w:w="1420"/>
        <w:gridCol w:w="1525"/>
        <w:gridCol w:w="1540"/>
        <w:gridCol w:w="1445"/>
      </w:tblGrid>
      <w:tr w:rsidR="00EF02D0" w14:paraId="5A35670C" w14:textId="77777777" w:rsidTr="00EF0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3CE59E" w14:textId="77777777" w:rsidR="00EF02D0" w:rsidRDefault="009C0FE3">
            <w:pPr>
              <w:pStyle w:val="Compact"/>
            </w:pPr>
            <w:r>
              <w:t>Archetype</w:t>
            </w:r>
          </w:p>
        </w:tc>
        <w:tc>
          <w:tcPr>
            <w:tcW w:w="0" w:type="auto"/>
          </w:tcPr>
          <w:p w14:paraId="44419625" w14:textId="77777777" w:rsidR="00EF02D0" w:rsidRDefault="009C0FE3">
            <w:pPr>
              <w:pStyle w:val="Compact"/>
            </w:pPr>
            <w:r>
              <w:t>SHEU dwelling type</w:t>
            </w:r>
          </w:p>
        </w:tc>
        <w:tc>
          <w:tcPr>
            <w:tcW w:w="0" w:type="auto"/>
          </w:tcPr>
          <w:p w14:paraId="2329E8AD" w14:textId="77777777" w:rsidR="00EF02D0" w:rsidRDefault="009C0FE3">
            <w:pPr>
              <w:pStyle w:val="Compact"/>
            </w:pPr>
            <w:r>
              <w:t>Simulated EUI (kWh/m²)</w:t>
            </w:r>
          </w:p>
        </w:tc>
        <w:tc>
          <w:tcPr>
            <w:tcW w:w="0" w:type="auto"/>
          </w:tcPr>
          <w:p w14:paraId="19D00985" w14:textId="77777777" w:rsidR="00EF02D0" w:rsidRDefault="009C0FE3">
            <w:pPr>
              <w:pStyle w:val="Compact"/>
            </w:pPr>
            <w:r>
              <w:t>SHEU national central (kWh/m²)</w:t>
            </w:r>
          </w:p>
        </w:tc>
        <w:tc>
          <w:tcPr>
            <w:tcW w:w="0" w:type="auto"/>
          </w:tcPr>
          <w:p w14:paraId="5D09F088" w14:textId="77777777" w:rsidR="00EF02D0" w:rsidRDefault="009C0FE3">
            <w:pPr>
              <w:pStyle w:val="Compact"/>
            </w:pPr>
            <w:r>
              <w:t>SHEU band (regional range, kWh/m²)</w:t>
            </w:r>
          </w:p>
        </w:tc>
        <w:tc>
          <w:tcPr>
            <w:tcW w:w="0" w:type="auto"/>
          </w:tcPr>
          <w:p w14:paraId="615D7A9B" w14:textId="77777777" w:rsidR="00EF02D0" w:rsidRDefault="009C0FE3">
            <w:pPr>
              <w:pStyle w:val="Compact"/>
            </w:pPr>
            <w:r>
              <w:t>Within band?</w:t>
            </w:r>
          </w:p>
        </w:tc>
      </w:tr>
      <w:tr w:rsidR="00EF02D0" w14:paraId="56DCAD5C" w14:textId="77777777">
        <w:tc>
          <w:tcPr>
            <w:tcW w:w="0" w:type="auto"/>
          </w:tcPr>
          <w:p w14:paraId="4DBF0FED" w14:textId="77777777" w:rsidR="00EF02D0" w:rsidRDefault="009C0FE3">
            <w:pPr>
              <w:pStyle w:val="Compact"/>
            </w:pPr>
            <w:r>
              <w:t>SingleDetached</w:t>
            </w:r>
          </w:p>
        </w:tc>
        <w:tc>
          <w:tcPr>
            <w:tcW w:w="0" w:type="auto"/>
          </w:tcPr>
          <w:p w14:paraId="35D2C566" w14:textId="77777777" w:rsidR="00EF02D0" w:rsidRDefault="009C0FE3">
            <w:pPr>
              <w:pStyle w:val="Compact"/>
            </w:pPr>
            <w:r>
              <w:t>Single detached</w:t>
            </w:r>
          </w:p>
        </w:tc>
        <w:tc>
          <w:tcPr>
            <w:tcW w:w="0" w:type="auto"/>
          </w:tcPr>
          <w:p w14:paraId="71EBACC6" w14:textId="77777777" w:rsidR="00EF02D0" w:rsidRDefault="009C0FE3">
            <w:pPr>
              <w:pStyle w:val="Compact"/>
            </w:pPr>
            <w:r>
              <w:t>208</w:t>
            </w:r>
          </w:p>
        </w:tc>
        <w:tc>
          <w:tcPr>
            <w:tcW w:w="0" w:type="auto"/>
          </w:tcPr>
          <w:p w14:paraId="79501625" w14:textId="77777777" w:rsidR="00EF02D0" w:rsidRDefault="009C0FE3">
            <w:pPr>
              <w:pStyle w:val="Compact"/>
            </w:pPr>
            <w:r>
              <w:t>155.6</w:t>
            </w:r>
          </w:p>
        </w:tc>
        <w:tc>
          <w:tcPr>
            <w:tcW w:w="0" w:type="auto"/>
          </w:tcPr>
          <w:p w14:paraId="106E9124" w14:textId="77777777" w:rsidR="00EF02D0" w:rsidRDefault="009C0FE3">
            <w:pPr>
              <w:pStyle w:val="Compact"/>
            </w:pPr>
            <w:r>
              <w:t>130.6 – 186.1</w:t>
            </w:r>
          </w:p>
        </w:tc>
        <w:tc>
          <w:tcPr>
            <w:tcW w:w="0" w:type="auto"/>
          </w:tcPr>
          <w:p w14:paraId="7CC2C3C1" w14:textId="77777777" w:rsidR="00EF02D0" w:rsidRDefault="009C0FE3">
            <w:pPr>
              <w:pStyle w:val="Compact"/>
            </w:pPr>
            <w:r>
              <w:rPr>
                <w:b/>
                <w:bCs/>
              </w:rPr>
              <w:t xml:space="preserve">No — above upper (≈ </w:t>
            </w:r>
            <w:r>
              <w:rPr>
                <w:b/>
                <w:bCs/>
              </w:rPr>
              <w:lastRenderedPageBreak/>
              <w:t>+12%)</w:t>
            </w:r>
          </w:p>
        </w:tc>
      </w:tr>
      <w:tr w:rsidR="00EF02D0" w14:paraId="564F567F" w14:textId="77777777">
        <w:tc>
          <w:tcPr>
            <w:tcW w:w="0" w:type="auto"/>
          </w:tcPr>
          <w:p w14:paraId="6AF39223" w14:textId="77777777" w:rsidR="00EF02D0" w:rsidRDefault="009C0FE3">
            <w:pPr>
              <w:pStyle w:val="Compact"/>
            </w:pPr>
            <w:r>
              <w:lastRenderedPageBreak/>
              <w:t>OtherDwelling</w:t>
            </w:r>
          </w:p>
        </w:tc>
        <w:tc>
          <w:tcPr>
            <w:tcW w:w="0" w:type="auto"/>
          </w:tcPr>
          <w:p w14:paraId="1D3A4240" w14:textId="77777777" w:rsidR="00EF02D0" w:rsidRDefault="009C0FE3">
            <w:pPr>
              <w:pStyle w:val="Compact"/>
            </w:pPr>
            <w:r>
              <w:t>Single attached (double / row / terrace / duplex)</w:t>
            </w:r>
          </w:p>
        </w:tc>
        <w:tc>
          <w:tcPr>
            <w:tcW w:w="0" w:type="auto"/>
          </w:tcPr>
          <w:p w14:paraId="5F0C5CB4" w14:textId="77777777" w:rsidR="00EF02D0" w:rsidRDefault="009C0FE3">
            <w:pPr>
              <w:pStyle w:val="Compact"/>
            </w:pPr>
            <w:r>
              <w:t>128</w:t>
            </w:r>
          </w:p>
        </w:tc>
        <w:tc>
          <w:tcPr>
            <w:tcW w:w="0" w:type="auto"/>
          </w:tcPr>
          <w:p w14:paraId="784D3BDB" w14:textId="77777777" w:rsidR="00EF02D0" w:rsidRDefault="009C0FE3">
            <w:pPr>
              <w:pStyle w:val="Compact"/>
            </w:pPr>
            <w:r>
              <w:t>144.4</w:t>
            </w:r>
          </w:p>
        </w:tc>
        <w:tc>
          <w:tcPr>
            <w:tcW w:w="0" w:type="auto"/>
          </w:tcPr>
          <w:p w14:paraId="45FE31ED" w14:textId="77777777" w:rsidR="00EF02D0" w:rsidRDefault="009C0FE3">
            <w:pPr>
              <w:pStyle w:val="Compact"/>
            </w:pPr>
            <w:r>
              <w:t>136.1 – 186.1</w:t>
            </w:r>
          </w:p>
        </w:tc>
        <w:tc>
          <w:tcPr>
            <w:tcW w:w="0" w:type="auto"/>
          </w:tcPr>
          <w:p w14:paraId="43CE2431" w14:textId="77777777" w:rsidR="00EF02D0" w:rsidRDefault="009C0FE3">
            <w:pPr>
              <w:pStyle w:val="Compact"/>
            </w:pPr>
            <w:r>
              <w:rPr>
                <w:b/>
                <w:bCs/>
              </w:rPr>
              <w:t>Marginal — ≈ 6% below lower</w:t>
            </w:r>
          </w:p>
        </w:tc>
      </w:tr>
      <w:tr w:rsidR="00EF02D0" w14:paraId="73B57B8E" w14:textId="77777777">
        <w:tc>
          <w:tcPr>
            <w:tcW w:w="0" w:type="auto"/>
          </w:tcPr>
          <w:p w14:paraId="3CB63927" w14:textId="77777777" w:rsidR="00EF02D0" w:rsidRDefault="009C0FE3">
            <w:pPr>
              <w:pStyle w:val="Compact"/>
            </w:pPr>
            <w:r>
              <w:t>MidRise</w:t>
            </w:r>
          </w:p>
        </w:tc>
        <w:tc>
          <w:tcPr>
            <w:tcW w:w="0" w:type="auto"/>
          </w:tcPr>
          <w:p w14:paraId="35BB600A" w14:textId="77777777" w:rsidR="00EF02D0" w:rsidRDefault="009C0FE3">
            <w:pPr>
              <w:pStyle w:val="Compact"/>
            </w:pPr>
            <w:r>
              <w:t>Apartment, low-rise (&lt; 5 storeys)</w:t>
            </w:r>
          </w:p>
        </w:tc>
        <w:tc>
          <w:tcPr>
            <w:tcW w:w="0" w:type="auto"/>
          </w:tcPr>
          <w:p w14:paraId="7060356C" w14:textId="77777777" w:rsidR="00EF02D0" w:rsidRDefault="009C0FE3">
            <w:pPr>
              <w:pStyle w:val="Compact"/>
            </w:pPr>
            <w:r>
              <w:t>152</w:t>
            </w:r>
          </w:p>
        </w:tc>
        <w:tc>
          <w:tcPr>
            <w:tcW w:w="0" w:type="auto"/>
          </w:tcPr>
          <w:p w14:paraId="35EE6F9D" w14:textId="77777777" w:rsidR="00EF02D0" w:rsidRDefault="009C0FE3">
            <w:pPr>
              <w:pStyle w:val="Compact"/>
            </w:pPr>
            <w:r>
              <w:t>144.4</w:t>
            </w:r>
          </w:p>
        </w:tc>
        <w:tc>
          <w:tcPr>
            <w:tcW w:w="0" w:type="auto"/>
          </w:tcPr>
          <w:p w14:paraId="173CABC9" w14:textId="77777777" w:rsidR="00EF02D0" w:rsidRDefault="009C0FE3">
            <w:pPr>
              <w:pStyle w:val="Compact"/>
            </w:pPr>
            <w:r>
              <w:t>111.1 – 216.7</w:t>
            </w:r>
          </w:p>
        </w:tc>
        <w:tc>
          <w:tcPr>
            <w:tcW w:w="0" w:type="auto"/>
          </w:tcPr>
          <w:p w14:paraId="0D96F804" w14:textId="77777777" w:rsidR="00EF02D0" w:rsidRDefault="009C0FE3">
            <w:pPr>
              <w:pStyle w:val="Compact"/>
            </w:pPr>
            <w:r>
              <w:t>Yes</w:t>
            </w:r>
          </w:p>
        </w:tc>
      </w:tr>
      <w:tr w:rsidR="00EF02D0" w14:paraId="7374E5B4" w14:textId="77777777">
        <w:tc>
          <w:tcPr>
            <w:tcW w:w="0" w:type="auto"/>
          </w:tcPr>
          <w:p w14:paraId="1451E914" w14:textId="77777777" w:rsidR="00EF02D0" w:rsidRDefault="009C0FE3">
            <w:pPr>
              <w:pStyle w:val="Compact"/>
            </w:pPr>
            <w:r>
              <w:t>HighRise</w:t>
            </w:r>
          </w:p>
        </w:tc>
        <w:tc>
          <w:tcPr>
            <w:tcW w:w="0" w:type="auto"/>
          </w:tcPr>
          <w:p w14:paraId="25676CB9" w14:textId="77777777" w:rsidR="00EF02D0" w:rsidRDefault="009C0FE3">
            <w:pPr>
              <w:pStyle w:val="Compact"/>
            </w:pPr>
            <w:r>
              <w:t>Apartment, high-rise (≥ 5 storeys)</w:t>
            </w:r>
          </w:p>
        </w:tc>
        <w:tc>
          <w:tcPr>
            <w:tcW w:w="0" w:type="auto"/>
          </w:tcPr>
          <w:p w14:paraId="0BC2C17D" w14:textId="77777777" w:rsidR="00EF02D0" w:rsidRDefault="009C0FE3">
            <w:pPr>
              <w:pStyle w:val="Compact"/>
            </w:pPr>
            <w:r>
              <w:t>117</w:t>
            </w:r>
          </w:p>
        </w:tc>
        <w:tc>
          <w:tcPr>
            <w:tcW w:w="0" w:type="auto"/>
          </w:tcPr>
          <w:p w14:paraId="49858870" w14:textId="77777777" w:rsidR="00EF02D0" w:rsidRDefault="009C0FE3">
            <w:pPr>
              <w:pStyle w:val="Compact"/>
            </w:pPr>
            <w:r>
              <w:t>130.6</w:t>
            </w:r>
          </w:p>
        </w:tc>
        <w:tc>
          <w:tcPr>
            <w:tcW w:w="0" w:type="auto"/>
          </w:tcPr>
          <w:p w14:paraId="22D01B16" w14:textId="77777777" w:rsidR="00EF02D0" w:rsidRDefault="009C0FE3">
            <w:pPr>
              <w:pStyle w:val="Compact"/>
            </w:pPr>
            <w:r>
              <w:t>113.9 – 147.2</w:t>
            </w:r>
          </w:p>
        </w:tc>
        <w:tc>
          <w:tcPr>
            <w:tcW w:w="0" w:type="auto"/>
          </w:tcPr>
          <w:p w14:paraId="24ABF223" w14:textId="77777777" w:rsidR="00EF02D0" w:rsidRDefault="009C0FE3">
            <w:pPr>
              <w:pStyle w:val="Compact"/>
            </w:pPr>
            <w:r>
              <w:t>Yes</w:t>
            </w:r>
          </w:p>
        </w:tc>
      </w:tr>
    </w:tbl>
    <w:p w14:paraId="318657B8" w14:textId="77777777" w:rsidR="00EF02D0" w:rsidRDefault="009C0FE3">
      <w:pPr>
        <w:pStyle w:val="Heading3"/>
      </w:pPr>
      <w:bookmarkStart w:id="6" w:name="X0680be3e44081bf927d527b56334aec051bf595"/>
      <w:bookmarkEnd w:id="5"/>
      <w:r>
        <w:t>5.3 Diurnal Load-Shape Reshaping and Peak-Hour Stability</w:t>
      </w:r>
    </w:p>
    <w:p w14:paraId="09E00DE8" w14:textId="77777777" w:rsidR="00EF02D0" w:rsidRDefault="009C0FE3">
      <w:pPr>
        <w:pStyle w:val="FirstParagraph"/>
      </w:pPr>
      <w:r>
        <w:rPr>
          <w:b/>
          <w:bCs/>
        </w:rPr>
        <w:t>Figure 6.</w:t>
      </w:r>
      <w:r>
        <w:t xml:space="preserve"> — </w:t>
      </w:r>
      <w:r>
        <w:rPr>
          <w:b/>
          <w:bCs/>
        </w:rPr>
        <w:t>Diurnal load-shape reshaping under work-f</w:t>
      </w:r>
      <w:r>
        <w:rPr>
          <w:b/>
          <w:bCs/>
        </w:rPr>
        <w:t>rom-home.</w:t>
      </w:r>
      <w:r>
        <w:t xml:space="preserve"> (a) Average hourly electricity demand over a day, most recent observed cycle vs 2030 forecast, each with a shaded uncertainty band; (b) average hour-by-hour paired within-household difference (forecast − recent), with a confidence band read again</w:t>
      </w:r>
      <w:r>
        <w:t>st the zero line and the work-from-home midday window highlighted; (c) stock-weighted ensemble daily load shape (archetypes/cities combined by stock share), recent vs forecast, with the coincidence factor annotated.</w:t>
      </w:r>
    </w:p>
    <w:p w14:paraId="73822B82" w14:textId="77777777" w:rsidR="00EF02D0" w:rsidRDefault="009C0FE3">
      <w:pPr>
        <w:pStyle w:val="BodyText"/>
      </w:pPr>
      <w:r>
        <w:rPr>
          <w:noProof/>
        </w:rPr>
        <w:drawing>
          <wp:inline distT="0" distB="0" distL="0" distR="0" wp14:anchorId="31F9DBE8" wp14:editId="59762075">
            <wp:extent cx="5334000" cy="1072787"/>
            <wp:effectExtent l="0" t="0" r="0" b="0"/>
            <wp:docPr id="20" name="Picture" descr="Fig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../figures/Figure_06_loadshap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2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C1D33" w14:textId="77777777" w:rsidR="00EF02D0" w:rsidRDefault="009C0FE3">
      <w:r>
        <w:pict w14:anchorId="23C805CB">
          <v:rect id="_x0000_i1031" style="width:0;height:1.5pt" o:hralign="center" o:hrstd="t" o:hr="t"/>
        </w:pict>
      </w:r>
    </w:p>
    <w:p w14:paraId="28891AD9" w14:textId="77777777" w:rsidR="00EF02D0" w:rsidRDefault="009C0FE3">
      <w:pPr>
        <w:pStyle w:val="Heading3"/>
      </w:pPr>
      <w:bookmarkStart w:id="7" w:name="Xb7421455ec6f0c0e38084fd5189f0b9b0e39a44"/>
      <w:bookmarkEnd w:id="6"/>
      <w:r>
        <w:t>5.4 End-Use Resolution: Magnitude Co</w:t>
      </w:r>
      <w:r>
        <w:t>rrection without Peak Displacement</w:t>
      </w:r>
    </w:p>
    <w:p w14:paraId="2ED7D132" w14:textId="77777777" w:rsidR="00EF02D0" w:rsidRDefault="009C0FE3">
      <w:pPr>
        <w:pStyle w:val="FirstParagraph"/>
      </w:pPr>
      <w:r>
        <w:rPr>
          <w:b/>
          <w:bCs/>
        </w:rPr>
        <w:t>Figure 7.</w:t>
      </w:r>
      <w:r>
        <w:t xml:space="preserve"> — </w:t>
      </w:r>
      <w:r>
        <w:rPr>
          <w:b/>
          <w:bCs/>
        </w:rPr>
        <w:t>Activity-driven equipment: magnitude correction and intraday shape.</w:t>
      </w:r>
      <w:r>
        <w:t xml:space="preserve"> (a) Default versus activity-driven equipment demand — one panel per archetype, single-detached in absolute terms with the annual total held t</w:t>
      </w:r>
      <w:r>
        <w:t>o the survey-based energy anchor and the others normalized to daily mean, each overlaying default vs activity-driven with peak-hour markers; (b) activity-driven equipment diurnal load shape — daily shape of equipment demand per archetype, each curve normal</w:t>
      </w:r>
      <w:r>
        <w:t>ized to its own daily mean, baseline vs activity-driven with peak-hour markers, showing a more pronounced morning rise and sharper evening concentration yet both curves peaking at essentially the same evening hour.</w:t>
      </w:r>
    </w:p>
    <w:p w14:paraId="28814741" w14:textId="77777777" w:rsidR="00EF02D0" w:rsidRDefault="009C0FE3">
      <w:pPr>
        <w:pStyle w:val="BodyText"/>
      </w:pPr>
      <w:r>
        <w:rPr>
          <w:noProof/>
        </w:rPr>
        <w:lastRenderedPageBreak/>
        <w:drawing>
          <wp:inline distT="0" distB="0" distL="0" distR="0" wp14:anchorId="4B92F5B1" wp14:editId="5FE862F0">
            <wp:extent cx="5334000" cy="1591134"/>
            <wp:effectExtent l="0" t="0" r="0" b="0"/>
            <wp:docPr id="24" name="Picture" descr="Fig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../figures/Figure_07_activity_equipmen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1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  <w:bookmarkEnd w:id="3"/>
      <w:bookmarkEnd w:id="7"/>
    </w:p>
    <w:sectPr w:rsidR="00EF02D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0E0CA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E8BB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2D0"/>
    <w:rsid w:val="009C0FE3"/>
    <w:rsid w:val="00EF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5384"/>
  <w15:docId w15:val="{9C052FFE-75C8-4445-8259-75AA98BC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732</Words>
  <Characters>4176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Orçun Koral Iseri</cp:lastModifiedBy>
  <cp:revision>2</cp:revision>
  <dcterms:created xsi:type="dcterms:W3CDTF">2026-06-12T14:02:00Z</dcterms:created>
  <dcterms:modified xsi:type="dcterms:W3CDTF">2026-06-12T14:23:00Z</dcterms:modified>
</cp:coreProperties>
</file>