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highlights"/>
    <w:p>
      <w:pPr>
        <w:pStyle w:val="Heading2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Four uses, four occupancy schedules: one mixed-use tower modelled from 2005 to 2030.</w:t>
      </w:r>
    </w:p>
    <w:p>
      <w:pPr>
        <w:pStyle w:val="Compact"/>
        <w:numPr>
          <w:ilvl w:val="0"/>
          <w:numId w:val="1001"/>
        </w:numPr>
      </w:pPr>
      <w:r>
        <w:t xml:space="preserve">Survey occupancy cuts office and retail energy 7 to 10 % against code schedules.</w:t>
      </w:r>
    </w:p>
    <w:p>
      <w:pPr>
        <w:pStyle w:val="Compact"/>
        <w:numPr>
          <w:ilvl w:val="0"/>
          <w:numId w:val="1001"/>
        </w:numPr>
      </w:pPr>
      <w:r>
        <w:t xml:space="preserve">In mixed-use towers, occupancy detail is a tenant-energy question, not a peak one.</w:t>
      </w:r>
    </w:p>
    <w:p>
      <w:pPr>
        <w:pStyle w:val="Compact"/>
        <w:numPr>
          <w:ilvl w:val="0"/>
          <w:numId w:val="1001"/>
        </w:numPr>
      </w:pPr>
      <w:r>
        <w:t xml:space="preserve">Load timing shifts under 0.5 h; a winter-morning plant start-up sets the peak.</w:t>
      </w:r>
    </w:p>
    <w:p>
      <w:pPr>
        <w:pStyle w:val="Compact"/>
        <w:numPr>
          <w:ilvl w:val="0"/>
          <w:numId w:val="1001"/>
        </w:numPr>
      </w:pPr>
      <w:r>
        <w:t xml:space="preserve">Single-use benchmarks misjudge stacked towers; even code-schedule offices miss.</w:t>
      </w:r>
    </w:p>
    <w:bookmarkEnd w:id="40"/>
    <w:sectPr>
      <w:footerReference r:id="rId31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240" w:lineRule="auto"/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jc w:val="both"/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000000"/>
      <w:rFonts w:asciiTheme="majorHAnsi" w:cstheme="majorBidi" w:eastAsiaTheme="majorEastAsia" w:hAnsiTheme="majorHAnsi"/>
      <w:b/>
      <w:bCs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color w:val="000000"/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000000"/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color w:val="000000"/>
      <w:rFonts w:cstheme="majorBidi" w:eastAsiaTheme="majorEastAsia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jc w:val="both"/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000000"/>
      <w:sz w:val="32"/>
      <w:szCs w:val="32"/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000000"/>
      <w:sz w:val="28"/>
      <w:szCs w:val="28"/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000000"/>
      <w:sz w:val="24"/>
      <w:szCs w:val="24"/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color w:val="000000"/>
      <w:sz w:val="22"/>
      <w:szCs w:val="22"/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color w:val="000000"/>
      <w:sz w:val="22"/>
      <w:szCs w:val="22"/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color w:val="000000"/>
      <w:sz w:val="22"/>
      <w:szCs w:val="22"/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color w:val="000000"/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color w:val="000000"/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color w:val="000000"/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color w:val="000000"/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jc w:val="both"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line="240" w:lineRule="auto"/>
      <w:jc w:val="center"/>
      <w:spacing w:after="120" w:before="0"/>
    </w:pPr>
    <w:rPr>
      <w:sz w:val="20"/>
      <w:szCs w:val="20"/>
      <w:i/>
    </w:rPr>
  </w:style>
  <w:style w:customStyle="1" w:styleId="TableCaption" w:type="paragraph">
    <w:name w:val="Table Caption"/>
    <w:basedOn w:val="Caption"/>
    <w:pPr>
      <w:spacing w:after="0" w:line="240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9" Target="numbering.xml" /><Relationship Type="http://schemas.openxmlformats.org/officeDocument/2006/relationships/styles" Id="rId38" Target="styles.xml" /><Relationship Type="http://schemas.openxmlformats.org/officeDocument/2006/relationships/settings" Id="rId37" Target="settings.xml" /><Relationship Type="http://schemas.openxmlformats.org/officeDocument/2006/relationships/webSettings" Id="rId36" Target="webSettings.xml" /><Relationship Type="http://schemas.openxmlformats.org/officeDocument/2006/relationships/fontTable" Id="rId35" Target="fontTable.xml" /><Relationship Type="http://schemas.openxmlformats.org/officeDocument/2006/relationships/theme" Id="rId34" Target="theme/theme1.xml" /><Relationship Type="http://schemas.openxmlformats.org/officeDocument/2006/relationships/footnotes" Id="rId33" Target="footnotes.xml" /><Relationship Type="http://schemas.openxmlformats.org/officeDocument/2006/relationships/comments" Id="rId32" Target="comments.xml" /><Relationship Id="rId3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2026-09-25T00:00:00Z</dcterms:created>
  <dcterms:modified xsi:type="dcterms:W3CDTF">2026-09-25T00:00:00Z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