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25 September 2026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Building and Environment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From One Channel to Four: A Jointly-Trained Time-Use</w:t>
      </w:r>
      <w:r>
        <w:rPr>
          <w:i/>
          <w:iCs/>
        </w:rPr>
        <w:t xml:space="preserve"> </w:t>
      </w:r>
      <w:r>
        <w:rPr>
          <w:i/>
          <w:iCs/>
        </w:rPr>
        <w:t xml:space="preserve">Occupancy Model for Mixed-Use Building Energy Simulation (Canada, 2005-2030)</w:t>
      </w:r>
      <w:r>
        <w:t xml:space="preserve">, for consideration as a</w:t>
      </w:r>
      <w:r>
        <w:t xml:space="preserve"> </w:t>
      </w:r>
      <w:r>
        <w:t xml:space="preserve">research article in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.</w:t>
      </w:r>
    </w:p>
    <w:p>
      <w:pPr>
        <w:pStyle w:val="BodyText"/>
      </w:pPr>
      <w:r>
        <w:t xml:space="preserve">Tall mixed-use buildings stack apartments, offices, shops and hotel rooms on one central plant, yet</w:t>
      </w:r>
      <w:r>
        <w:t xml:space="preserve"> </w:t>
      </w:r>
      <w:r>
        <w:t xml:space="preserve">their energy models usually run most uses on code schedules. This study gives each use its own</w:t>
      </w:r>
      <w:r>
        <w:t xml:space="preserve"> </w:t>
      </w:r>
      <w:r>
        <w:t xml:space="preserve">schedule. One jointly trained Transformer generates residential, office and retail presence from four</w:t>
      </w:r>
      <w:r>
        <w:t xml:space="preserve"> </w:t>
      </w:r>
      <w:r>
        <w:t xml:space="preserve">cycles of the Canadian General Social Survey time-use diaries (2005 to 2022). Monthly provincial</w:t>
      </w:r>
      <w:r>
        <w:t xml:space="preserve"> </w:t>
      </w:r>
      <w:r>
        <w:t xml:space="preserve">hotel-occupancy statistics set hotel presence, because hotel guests fall outside the survey frame. The</w:t>
      </w:r>
      <w:r>
        <w:t xml:space="preserve"> </w:t>
      </w:r>
      <w:r>
        <w:t xml:space="preserve">four schedules drive EnergyPlus models of two prototype towers in Montreal and Calgary, run once on</w:t>
      </w:r>
      <w:r>
        <w:t xml:space="preserve"> </w:t>
      </w:r>
      <w:r>
        <w:t xml:space="preserve">code schedules and once on survey-based schedules, across four survey years and nine scenarios to 2030.</w:t>
      </w:r>
    </w:p>
    <w:p>
      <w:pPr>
        <w:pStyle w:val="BodyText"/>
      </w:pPr>
      <w:r>
        <w:t xml:space="preserve">Running both schedule sets through the same pipeline separates what survey-based occupancy changes</w:t>
      </w:r>
      <w:r>
        <w:t xml:space="preserve"> </w:t>
      </w:r>
      <w:r>
        <w:t xml:space="preserve">from what it does not. Daytime office presence falls well below the code schedule. That reaches energy</w:t>
      </w:r>
      <w:r>
        <w:t xml:space="preserve"> </w:t>
      </w:r>
      <w:r>
        <w:t xml:space="preserve">where lighting and plug loads follow occupancy, moving office and retail intensity by -7 to -10 % and</w:t>
      </w:r>
      <w:r>
        <w:t xml:space="preserve"> </w:t>
      </w:r>
      <w:r>
        <w:t xml:space="preserve">about -9 % against the code-schedule tower. Whole-building timing barely moves: the load centroid</w:t>
      </w:r>
      <w:r>
        <w:t xml:space="preserve"> </w:t>
      </w:r>
      <w:r>
        <w:t xml:space="preserve">shifts by under 0.5 hour, and the annual peak stays a winter-morning plant start-up under both</w:t>
      </w:r>
      <w:r>
        <w:t xml:space="preserve"> </w:t>
      </w:r>
      <w:r>
        <w:t xml:space="preserve">schedule sets. Single-use reference intensity ranges fit the tower poorly: the office range is not met</w:t>
      </w:r>
      <w:r>
        <w:t xml:space="preserve"> </w:t>
      </w:r>
      <w:r>
        <w:t xml:space="preserve">even by the code-schedule tower.</w:t>
      </w:r>
    </w:p>
    <w:p>
      <w:pPr>
        <w:pStyle w:val="BodyText"/>
      </w:pPr>
      <w:r>
        <w:t xml:space="preserve">We state the limits of these results plainly. A second code control, with apartments and guest rooms</w:t>
      </w:r>
      <w:r>
        <w:t xml:space="preserve"> </w:t>
      </w:r>
      <w:r>
        <w:t xml:space="preserve">on a dwelling-unit schedule, shows that the night-time presence of residents and hotel guests is not</w:t>
      </w:r>
      <w:r>
        <w:t xml:space="preserve"> </w:t>
      </w:r>
      <w:r>
        <w:t xml:space="preserve">unique to the survey data, so the paper does not claim it as a finding. In both controls, office and</w:t>
      </w:r>
      <w:r>
        <w:t xml:space="preserve"> </w:t>
      </w:r>
      <w:r>
        <w:t xml:space="preserve">retail lighting and plug loads stay on the prototype schedules, so the office and retail differences</w:t>
      </w:r>
      <w:r>
        <w:t xml:space="preserve"> </w:t>
      </w:r>
      <w:r>
        <w:t xml:space="preserve">combine occupancy with that change of load schedule.</w:t>
      </w:r>
    </w:p>
    <w:p>
      <w:pPr>
        <w:pStyle w:val="BodyText"/>
      </w:pPr>
      <w:r>
        <w:rPr>
          <w:b/>
          <w:bCs/>
        </w:rPr>
        <w:t xml:space="preserve">Relationship to our earlier work.</w:t>
      </w:r>
      <w:r>
        <w:t xml:space="preserve"> </w:t>
      </w:r>
      <w:r>
        <w:t xml:space="preserve">This is the third study in one research line. Two companion</w:t>
      </w:r>
      <w:r>
        <w:t xml:space="preserve"> </w:t>
      </w:r>
      <w:r>
        <w:t xml:space="preserve">journal manuscripts, both in revision, and a companion conference study (Iseri and Hachem-Vermette</w:t>
      </w:r>
      <w:r>
        <w:t xml:space="preserve"> </w:t>
      </w:r>
      <w:r>
        <w:t xml:space="preserve">2026) model residential occupancy only. The present paper adds office, retail and hotel channels inside</w:t>
      </w:r>
      <w:r>
        <w:t xml:space="preserve"> </w:t>
      </w:r>
      <w:r>
        <w:t xml:space="preserve">one building. The earlier work is cited and compared in the manuscript (Section 1 and Appendix A).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All authors have approved its submission. We have no competing interests to declare. The</w:t>
      </w:r>
      <w:r>
        <w:t xml:space="preserve"> </w:t>
      </w:r>
      <w:r>
        <w:t xml:space="preserve">use of generative AI tools is declared at the end of the manuscript.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40"/>
    <w:bookmarkStart w:id="43" w:name="title-page"/>
    <w:p>
      <w:pPr>
        <w:pStyle w:val="Heading1"/>
      </w:pPr>
      <w:r>
        <w:t xml:space="preserve">Title page</w:t>
      </w:r>
    </w:p>
    <w:bookmarkStart w:id="4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From One Channel to Four: A Jointly-Trained Time-Use Occupancy Model for Mixed-Use Building Energy</w:t>
      </w:r>
      <w:r>
        <w:t xml:space="preserve"> </w:t>
      </w:r>
      <w:r>
        <w:t xml:space="preserve">Simulation (Canada, 2005-2030)</w:t>
      </w:r>
    </w:p>
    <w:bookmarkEnd w:id="41"/>
    <w:bookmarkStart w:id="4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a,*</w:t>
      </w:r>
      <w:r>
        <w:t xml:space="preserve">, Caroline Hachem-Vermette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BodyText"/>
      </w:pPr>
      <w:r>
        <w:t xml:space="preserve">* Corresponding author. E-mail address: orcunkoral.oseri@concordia.ca</w:t>
      </w:r>
    </w:p>
    <w:p>
      <w:pPr>
        <w:pStyle w:val="BodyText"/>
      </w:pPr>
      <w:r>
        <w:t xml:space="preserve">ORCID: Orcun Koral Iseri, https://orcid.org/0000-0001-7735-3363</w:t>
      </w:r>
    </w:p>
    <w:bookmarkEnd w:id="42"/>
    <w:bookmarkEnd w:id="43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2026-09-25T03:26:12Z</dcterms:created>
  <dcterms:modified xsi:type="dcterms:W3CDTF">2026-09-25T03:26:12Z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