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Four occupancy schedules drive one mixed-use tower, 2005 to 2030 scenarios.</w:t>
      </w:r>
    </w:p>
    <w:p>
      <w:pPr>
        <w:pStyle w:val="Compact"/>
        <w:numPr>
          <w:ilvl w:val="0"/>
          <w:numId w:val="1001"/>
        </w:numPr>
      </w:pPr>
      <w:r>
        <w:t xml:space="preserve">Survey-based schedules cut daytime office presence well below the code schedule.</w:t>
      </w:r>
    </w:p>
    <w:p>
      <w:pPr>
        <w:pStyle w:val="Compact"/>
        <w:numPr>
          <w:ilvl w:val="0"/>
          <w:numId w:val="1001"/>
        </w:numPr>
      </w:pPr>
      <w:r>
        <w:t xml:space="preserve">Office and retail energy follow survey occupancy; building peak timing does not.</w:t>
      </w:r>
    </w:p>
    <w:p>
      <w:pPr>
        <w:pStyle w:val="Compact"/>
        <w:numPr>
          <w:ilvl w:val="0"/>
          <w:numId w:val="1001"/>
        </w:numPr>
      </w:pPr>
      <w:r>
        <w:t xml:space="preserve">A winter-morning plant start-up sets the building peak under both schedule sets.</w:t>
      </w:r>
    </w:p>
    <w:p>
      <w:pPr>
        <w:pStyle w:val="Compact"/>
        <w:numPr>
          <w:ilvl w:val="0"/>
          <w:numId w:val="1001"/>
        </w:numPr>
      </w:pPr>
      <w:r>
        <w:t xml:space="preserve">Single-use intensity ranges cannot judge tenant uses inside a stacked tower.</w:t>
      </w:r>
    </w:p>
    <w:bookmarkEnd w:id="40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2026-09-25T19:13:01Z</dcterms:created>
  <dcterms:modified xsi:type="dcterms:W3CDTF">2026-09-25T19:13:01Z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