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2.png" ContentType="image/png"/>
  <Override PartName="/word/media/rId65.png" ContentType="image/png"/>
  <Override PartName="/word/media/rId68.png" ContentType="image/png"/>
  <Override PartName="/word/media/rId71.png" ContentType="image/png"/>
  <Override PartName="/word/media/rId53.png" ContentType="image/png"/>
  <Override PartName="/word/media/rId56.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supplementary-material"/>
    <w:p>
      <w:pPr>
        <w:pStyle w:val="Heading1"/>
      </w:pPr>
      <w:r>
        <w:t xml:space="preserve">Supplementary material</w:t>
      </w:r>
    </w:p>
    <w:p>
      <w:pPr>
        <w:pStyle w:val="FirstParagraph"/>
      </w:pPr>
      <w:r>
        <w:rPr>
          <w:i/>
          <w:iCs/>
        </w:rPr>
        <w:t xml:space="preserve">From One Channel to Four: A Jointly-Trained Time-Use Occupancy Model for Mixed-Use Building Energy Simulation (Canada, 2005-2030)</w:t>
      </w:r>
    </w:p>
    <w:bookmarkStart w:id="40" w:name="s.1-checkpoint-selection"/>
    <w:p>
      <w:pPr>
        <w:pStyle w:val="Heading2"/>
      </w:pPr>
      <w:r>
        <w:t xml:space="preserve">S.1 Checkpoint selection</w:t>
      </w:r>
    </w:p>
    <w:p>
      <w:pPr>
        <w:pStyle w:val="FirstParagraph"/>
      </w:pPr>
      <w:r>
        <w:t xml:space="preserve">The delivered occupancy model was selected by a composite validation score rather than by the rule specified before training. The specified rule was to discard every checkpoint that did not pass a hard check, then to take the highest retail F1 among the rest. The training code instead kept the checkpoint with the lowest composite of the mean Jensen-Shannon divergence and the mean gap in presence rate across the three heads:</w:t>
      </w:r>
    </w:p>
    <w:p>
      <w:pPr>
        <w:pStyle w:val="BodyText"/>
      </w:pPr>
      <m:oMathPara>
        <m:oMathParaPr>
          <m:jc m:val="center"/>
        </m:oMathParaPr>
        <m:oMath>
          <m:r>
            <m:t>S</m:t>
          </m:r>
          <m:r>
            <m:rPr>
              <m:sty m:val="p"/>
            </m:rPr>
            <m:t>=</m:t>
          </m:r>
          <m:bar>
            <m:barPr>
              <m:pos m:val="top"/>
            </m:barPr>
            <m:e>
              <m:r>
                <m:rPr>
                  <m:sty m:val="p"/>
                </m:rPr>
                <m:t>J</m:t>
              </m:r>
              <m:r>
                <m:rPr>
                  <m:sty m:val="p"/>
                </m:rPr>
                <m:t>S</m:t>
              </m:r>
            </m:e>
          </m:bar>
          <m:r>
            <m:rPr>
              <m:sty m:val="p"/>
            </m:rPr>
            <m:t>+</m:t>
          </m:r>
          <m:f>
            <m:fPr>
              <m:type m:val="lin"/>
            </m:fPr>
            <m:num>
              <m:r>
                <m:t>1</m:t>
              </m:r>
            </m:num>
            <m:den>
              <m:r>
                <m:t>2</m:t>
              </m:r>
            </m:den>
          </m:f>
          <m:r>
            <m:rPr>
              <m:sty m:val="p"/>
            </m:rPr>
            <m:t>⋅</m:t>
          </m:r>
          <m:f>
            <m:fPr>
              <m:type m:val="bar"/>
            </m:fPr>
            <m:num>
              <m:sSub>
                <m:e>
                  <m:r>
                    <m:t>g</m:t>
                  </m:r>
                </m:e>
                <m:sub>
                  <m:r>
                    <m:rPr>
                      <m:sty m:val="p"/>
                    </m:rPr>
                    <m:t>h</m:t>
                  </m:r>
                  <m:r>
                    <m:rPr>
                      <m:sty m:val="p"/>
                    </m:rPr>
                    <m:t>o</m:t>
                  </m:r>
                  <m:r>
                    <m:rPr>
                      <m:sty m:val="p"/>
                    </m:rPr>
                    <m:t>m</m:t>
                  </m:r>
                  <m:r>
                    <m:rPr>
                      <m:sty m:val="p"/>
                    </m:rPr>
                    <m:t>e</m:t>
                  </m:r>
                </m:sub>
              </m:sSub>
              <m:r>
                <m:rPr>
                  <m:sty m:val="p"/>
                </m:rPr>
                <m:t>+</m:t>
              </m:r>
              <m:sSub>
                <m:e>
                  <m:r>
                    <m:t>g</m:t>
                  </m:r>
                </m:e>
                <m:sub>
                  <m:r>
                    <m:rPr>
                      <m:sty m:val="p"/>
                    </m:rPr>
                    <m:t>w</m:t>
                  </m:r>
                  <m:r>
                    <m:rPr>
                      <m:sty m:val="p"/>
                    </m:rPr>
                    <m:t>o</m:t>
                  </m:r>
                  <m:r>
                    <m:rPr>
                      <m:sty m:val="p"/>
                    </m:rPr>
                    <m:t>r</m:t>
                  </m:r>
                  <m:r>
                    <m:rPr>
                      <m:sty m:val="p"/>
                    </m:rPr>
                    <m:t>k</m:t>
                  </m:r>
                </m:sub>
              </m:sSub>
              <m:r>
                <m:rPr>
                  <m:sty m:val="p"/>
                </m:rPr>
                <m:t>+</m:t>
              </m:r>
              <m:sSub>
                <m:e>
                  <m:r>
                    <m:t>g</m:t>
                  </m:r>
                </m:e>
                <m:sub>
                  <m:r>
                    <m:rPr>
                      <m:sty m:val="p"/>
                    </m:rPr>
                    <m:t>r</m:t>
                  </m:r>
                  <m:r>
                    <m:rPr>
                      <m:sty m:val="p"/>
                    </m:rPr>
                    <m:t>e</m:t>
                  </m:r>
                  <m:r>
                    <m:rPr>
                      <m:sty m:val="p"/>
                    </m:rPr>
                    <m:t>t</m:t>
                  </m:r>
                  <m:r>
                    <m:rPr>
                      <m:sty m:val="p"/>
                    </m:rPr>
                    <m:t>a</m:t>
                  </m:r>
                  <m:r>
                    <m:rPr>
                      <m:sty m:val="p"/>
                    </m:rPr>
                    <m:t>i</m:t>
                  </m:r>
                  <m:r>
                    <m:rPr>
                      <m:sty m:val="p"/>
                    </m:rPr>
                    <m:t>l</m:t>
                  </m:r>
                </m:sub>
              </m:sSub>
            </m:num>
            <m:den>
              <m:r>
                <m:t>3</m:t>
              </m:r>
            </m:den>
          </m:f>
        </m:oMath>
      </m:oMathPara>
    </w:p>
    <w:p>
      <w:pPr>
        <w:pStyle w:val="FirstParagraph"/>
      </w:pPr>
      <w:r>
        <w:t xml:space="preserve">The score contains neither the precision-recall area nor F1. The two rules pick different epochs in four of five seeds. The delivered seed ranks first of five on the composite and fourth of five on retail F1. It is 0.0218 retail F1 below the specified rule’s choice, 5.6 % in relative terms and 0.16 standard deviations of the spread across seeds.</w:t>
      </w:r>
    </w:p>
    <w:p>
      <w:pPr>
        <w:pStyle w:val="BodyText"/>
      </w:pPr>
      <w:r>
        <w:t xml:space="preserve">The model was not re-selected, for an evidential reason. Both rules rank epochs on teacher-forced validation columns. A separate person-level test showed that those columns cannot see person-level retail skill. The hard-check clause of the specified rule could also not be applied as written. Two of its five check families are pool-level quantities that exist only after inference and adjustment. On the observed range the clause would not have removed any epoch. The worst epoch reached a precision-recall area of 0.518 against a bar of 0.15, an F1 of 0.282 against 0.25, and a raw impossible-state rate of 0.014 % against 0.5 %.</w:t>
      </w:r>
    </w:p>
    <w:bookmarkEnd w:id="40"/>
    <w:bookmarkStart w:id="41" w:name="s.2-injection-checks"/>
    <w:p>
      <w:pPr>
        <w:pStyle w:val="Heading2"/>
      </w:pPr>
      <w:r>
        <w:t xml:space="preserve">S.2 Injection checks</w:t>
      </w:r>
    </w:p>
    <w:p>
      <w:pPr>
        <w:pStyle w:val="FirstParagraph"/>
      </w:pPr>
      <w:r>
        <w:t xml:space="preserve">The field check on occupant objects has its origin in the two-channel version. There, a modulated occupancy schedule was attached to the wrong field of the occupant object. That field still existed and still held a valid schedule. Every input-side check then available passed, including schedule presence, syntax and non-empty fields. The error flattened the office channel’s daily signal. It was found only when office output did not differ from an unmodulated run. The check now confirms the correct field on every modulated space.</w:t>
      </w:r>
    </w:p>
    <w:p>
      <w:pPr>
        <w:pStyle w:val="BodyText"/>
      </w:pPr>
      <w:r>
        <w:t xml:space="preserve">An input-side check cannot show that outputs carry the scenario signal. Two output-side checks were therefore added. The first requires scenarios that should differ to give different outputs. The second re-runs a simulation whenever the injection code or the schedule files it reads have changed since that output was produced. The first version of this second check tracked only the injection code. It was extended to the schedule files, because their content also decides what is injected.</w:t>
      </w:r>
    </w:p>
    <w:bookmarkEnd w:id="41"/>
    <w:bookmarkStart w:id="42" w:name="s.3-retail-scoring-rule"/>
    <w:p>
      <w:pPr>
        <w:pStyle w:val="Heading2"/>
      </w:pPr>
      <w:r>
        <w:t xml:space="preserve">S.3 Retail scoring rule</w:t>
      </w:r>
    </w:p>
    <w:p>
      <w:pPr>
        <w:pStyle w:val="FirstParagraph"/>
      </w:pPr>
      <w:r>
        <w:t xml:space="preserve">Retail was first scored by counting every simulation against the range. Under that count, the verdict depended on a margin of only 0.15 % of the floor. In an earlier model version, a shift of -0.05 % in the median changed one simulation’s verdict. The rule was then changed to require the median of all simulations to lie within the range. The change was made after the numbers of an earlier run had been seen. The rule was then written down before the numbers of the reported runs were read. Retail meets its range under the median rule but not under the count of individual simulations (37 of 56 inside).</w:t>
      </w:r>
    </w:p>
    <w:bookmarkEnd w:id="42"/>
    <w:bookmarkStart w:id="52" w:name="supplementary-tables"/>
    <w:p>
      <w:pPr>
        <w:pStyle w:val="Heading2"/>
      </w:pPr>
      <w:r>
        <w:t xml:space="preserve">Supplementary tables</w:t>
      </w:r>
    </w:p>
    <w:p>
      <w:pPr>
        <w:pStyle w:val="FirstParagraph"/>
      </w:pPr>
      <w:r>
        <w:rPr>
          <w:b/>
          <w:bCs/>
        </w:rPr>
        <w:t xml:space="preserve">Table S1.</w:t>
      </w:r>
      <w:r>
        <w:t xml:space="preserve"> </w:t>
      </w:r>
      <w:r>
        <w:t xml:space="preserve">Checks and thresholds, with their provenance.</w:t>
      </w:r>
    </w:p>
    <w:p>
      <w:pPr>
        <w:pStyle w:val="BodyText"/>
      </w:pPr>
      <w:r>
        <w:t xml:space="preserve">The Provenance column classifies every threshold as exactly one of three kinds: a literature value, a heuristic, or a project-chosen value.</w:t>
      </w:r>
    </w:p>
    <w:bookmarkStart w:id="43" w:name="X06d7dae79141ed2a698261f5b2e7129f8bc8165"/>
    <w:p>
      <w:pPr>
        <w:pStyle w:val="Heading3"/>
      </w:pPr>
      <w:r>
        <w:t xml:space="preserve">(a) Tiered checks - Tier 1 distributional / Tier 2 structural / Tier 3 downstream</w:t>
      </w:r>
    </w:p>
    <w:p>
      <w:pPr>
        <w:pStyle w:val="FirstParagraph"/>
      </w:pPr>
      <w:r>
        <w:t xml:space="preserve">Applied per day type, to retail presence exactly as to work presence in the two-channel version.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Tier</w:t>
            </w:r>
          </w:p>
        </w:tc>
        <w:tc>
          <w:tcPr/>
          <w:p>
            <w:pPr>
              <w:spacing w:after="0" w:line="240" w:lineRule="auto"/>
              <w:pStyle w:val="Compact"/>
            </w:pPr>
            <w:r>
              <w:rPr>
                <w:sz w:val="20"/>
                <w:szCs w:val="20"/>
              </w:rPr>
              <w:t xml:space="preserve">Metric</w:t>
            </w:r>
          </w:p>
        </w:tc>
        <w:tc>
          <w:tcPr/>
          <w:p>
            <w:pPr>
              <w:spacing w:after="0" w:line="240" w:lineRule="auto"/>
              <w:pStyle w:val="Compact"/>
            </w:pPr>
            <w:r>
              <w:rPr>
                <w:sz w:val="20"/>
                <w:szCs w:val="20"/>
              </w:rPr>
              <w:t xml:space="preserve">Threshold</w:t>
            </w:r>
          </w:p>
        </w:tc>
        <w:tc>
          <w:tcPr/>
          <w:p>
            <w:pPr>
              <w:spacing w:after="0" w:line="240" w:lineRule="auto"/>
              <w:pStyle w:val="Compact"/>
            </w:pPr>
            <w:r>
              <w:rPr>
                <w:sz w:val="20"/>
                <w:szCs w:val="20"/>
              </w:rPr>
              <w:t xml:space="preserve">Provenance</w:t>
            </w:r>
          </w:p>
        </w:tc>
      </w:tr>
      <w:tr>
        <w:tc>
          <w:tcPr/>
          <w:p>
            <w:pPr>
              <w:spacing w:after="0" w:line="240" w:lineRule="auto"/>
              <w:pStyle w:val="Compact"/>
            </w:pPr>
            <w:r>
              <w:rPr>
                <w:sz w:val="20"/>
                <w:szCs w:val="20"/>
              </w:rPr>
              <w:t xml:space="preserve">1 Distributional</w:t>
            </w:r>
          </w:p>
        </w:tc>
        <w:tc>
          <w:tcPr/>
          <w:p>
            <w:pPr>
              <w:spacing w:after="0" w:line="240" w:lineRule="auto"/>
              <w:pStyle w:val="Compact"/>
            </w:pPr>
            <w:r>
              <w:rPr>
                <w:sz w:val="20"/>
                <w:szCs w:val="20"/>
              </w:rPr>
              <w:t xml:space="preserve">KL divergence (arrival / departure)</w:t>
            </w:r>
          </w:p>
        </w:tc>
        <w:tc>
          <w:tcPr/>
          <w:p>
            <w:pPr>
              <w:spacing w:after="0" w:line="240" w:lineRule="auto"/>
              <w:pStyle w:val="Compact"/>
            </w:pPr>
            <w:r>
              <w:rPr>
                <w:sz w:val="20"/>
                <w:szCs w:val="20"/>
              </w:rPr>
              <w:t xml:space="preserve">&lt; 0.05</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1 Distributional</w:t>
            </w:r>
          </w:p>
        </w:tc>
        <w:tc>
          <w:tcPr/>
          <w:p>
            <w:pPr>
              <w:spacing w:after="0" w:line="240" w:lineRule="auto"/>
              <w:pStyle w:val="Compact"/>
            </w:pPr>
            <w:r>
              <w:rPr>
                <w:sz w:val="20"/>
                <w:szCs w:val="20"/>
              </w:rPr>
              <w:t xml:space="preserve">1-Wasserstein / EMD on hourly presence CDF</w:t>
            </w:r>
          </w:p>
        </w:tc>
        <w:tc>
          <w:tcPr/>
          <w:p>
            <w:pPr>
              <w:spacing w:after="0" w:line="240" w:lineRule="auto"/>
              <w:pStyle w:val="Compact"/>
            </w:pPr>
            <w:r>
              <w:rPr>
                <w:sz w:val="20"/>
                <w:szCs w:val="20"/>
              </w:rPr>
              <w:t xml:space="preserve">&lt; 0.05</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1 Distributional</w:t>
            </w:r>
          </w:p>
        </w:tc>
        <w:tc>
          <w:tcPr/>
          <w:p>
            <w:pPr>
              <w:spacing w:after="0" w:line="240" w:lineRule="auto"/>
              <w:pStyle w:val="Compact"/>
            </w:pPr>
            <w:r>
              <w:rPr>
                <w:sz w:val="20"/>
                <w:szCs w:val="20"/>
              </w:rPr>
              <w:t xml:space="preserve">Presence-rate RMS error</w:t>
            </w:r>
          </w:p>
        </w:tc>
        <w:tc>
          <w:tcPr/>
          <w:p>
            <w:pPr>
              <w:spacing w:after="0" w:line="240" w:lineRule="auto"/>
              <w:pStyle w:val="Compact"/>
            </w:pPr>
            <w:r>
              <w:rPr>
                <w:sz w:val="20"/>
                <w:szCs w:val="20"/>
              </w:rPr>
              <w:t xml:space="preserve">≤ 5 pp per day-type</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2 Structural</w:t>
            </w:r>
          </w:p>
        </w:tc>
        <w:tc>
          <w:tcPr/>
          <w:p>
            <w:pPr>
              <w:spacing w:after="0" w:line="240" w:lineRule="auto"/>
              <w:pStyle w:val="Compact"/>
            </w:pPr>
            <w:r>
              <w:rPr>
                <w:sz w:val="20"/>
                <w:szCs w:val="20"/>
              </w:rPr>
              <w:t xml:space="preserve">Transition-matrix Frobenius / MAE</w:t>
            </w:r>
          </w:p>
        </w:tc>
        <w:tc>
          <w:tcPr/>
          <w:p>
            <w:pPr>
              <w:spacing w:after="0" w:line="240" w:lineRule="auto"/>
              <w:pStyle w:val="Compact"/>
            </w:pPr>
            <w:r>
              <w:rPr>
                <w:sz w:val="20"/>
                <w:szCs w:val="20"/>
              </w:rPr>
              <w:t xml:space="preserve">&lt; 0.05</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2 Structural</w:t>
            </w:r>
          </w:p>
        </w:tc>
        <w:tc>
          <w:tcPr/>
          <w:p>
            <w:pPr>
              <w:spacing w:after="0" w:line="240" w:lineRule="auto"/>
              <w:pStyle w:val="Compact"/>
            </w:pPr>
            <w:r>
              <w:rPr>
                <w:sz w:val="20"/>
                <w:szCs w:val="20"/>
              </w:rPr>
              <w:t xml:space="preserve">Dwell-time KS test</w:t>
            </w:r>
          </w:p>
        </w:tc>
        <w:tc>
          <w:tcPr/>
          <w:p>
            <w:pPr>
              <w:spacing w:after="0" w:line="240" w:lineRule="auto"/>
              <w:pStyle w:val="Compact"/>
            </w:pPr>
            <w:r>
              <w:rPr>
                <w:sz w:val="20"/>
                <w:szCs w:val="20"/>
              </w:rPr>
              <w:t xml:space="preserve">p &gt; 0.05 (fail to reject H₀)</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2 Structural</w:t>
            </w:r>
          </w:p>
        </w:tc>
        <w:tc>
          <w:tcPr/>
          <w:p>
            <w:pPr>
              <w:spacing w:after="0" w:line="240" w:lineRule="auto"/>
              <w:pStyle w:val="Compact"/>
            </w:pPr>
            <w:r>
              <w:rPr>
                <w:sz w:val="20"/>
                <w:szCs w:val="20"/>
              </w:rPr>
              <w:t xml:space="preserve">Autocorrelation MAE, lags 1-24 h</w:t>
            </w:r>
          </w:p>
        </w:tc>
        <w:tc>
          <w:tcPr/>
          <w:p>
            <w:pPr>
              <w:spacing w:after="0" w:line="240" w:lineRule="auto"/>
              <w:pStyle w:val="Compact"/>
            </w:pPr>
            <w:r>
              <w:rPr>
                <w:sz w:val="20"/>
                <w:szCs w:val="20"/>
              </w:rPr>
              <w:t xml:space="preserve">&lt; 0.05</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3 Downstream</w:t>
            </w:r>
          </w:p>
        </w:tc>
        <w:tc>
          <w:tcPr/>
          <w:p>
            <w:pPr>
              <w:spacing w:after="0" w:line="240" w:lineRule="auto"/>
              <w:pStyle w:val="Compact"/>
            </w:pPr>
            <w:r>
              <w:rPr>
                <w:sz w:val="20"/>
                <w:szCs w:val="20"/>
              </w:rPr>
              <w:t xml:space="preserve">NMBE</w:t>
            </w:r>
          </w:p>
        </w:tc>
        <w:tc>
          <w:tcPr/>
          <w:p>
            <w:pPr>
              <w:spacing w:after="0" w:line="240" w:lineRule="auto"/>
              <w:pStyle w:val="Compact"/>
            </w:pPr>
            <w:r>
              <w:rPr>
                <w:sz w:val="20"/>
                <w:szCs w:val="20"/>
              </w:rPr>
              <w:t xml:space="preserve">monthly ±5 %, hourly ±10 %</w:t>
            </w:r>
          </w:p>
        </w:tc>
        <w:tc>
          <w:tcPr/>
          <w:p>
            <w:pPr>
              <w:spacing w:after="0" w:line="240" w:lineRule="auto"/>
              <w:pStyle w:val="Compact"/>
            </w:pPr>
            <w:r>
              <w:rPr>
                <w:sz w:val="20"/>
                <w:szCs w:val="20"/>
              </w:rPr>
              <w:t xml:space="preserve">ASHRAE Guideline 14</w:t>
            </w:r>
          </w:p>
        </w:tc>
      </w:tr>
      <w:tr>
        <w:tc>
          <w:tcPr/>
          <w:p>
            <w:pPr>
              <w:spacing w:after="0" w:line="240" w:lineRule="auto"/>
              <w:pStyle w:val="Compact"/>
            </w:pPr>
            <w:r>
              <w:rPr>
                <w:sz w:val="20"/>
                <w:szCs w:val="20"/>
              </w:rPr>
              <w:t xml:space="preserve">3 Downstream</w:t>
            </w:r>
          </w:p>
        </w:tc>
        <w:tc>
          <w:tcPr/>
          <w:p>
            <w:pPr>
              <w:spacing w:after="0" w:line="240" w:lineRule="auto"/>
              <w:pStyle w:val="Compact"/>
            </w:pPr>
            <w:r>
              <w:rPr>
                <w:sz w:val="20"/>
                <w:szCs w:val="20"/>
              </w:rPr>
              <w:t xml:space="preserve">CV(RMSE)</w:t>
            </w:r>
          </w:p>
        </w:tc>
        <w:tc>
          <w:tcPr/>
          <w:p>
            <w:pPr>
              <w:spacing w:after="0" w:line="240" w:lineRule="auto"/>
              <w:pStyle w:val="Compact"/>
            </w:pPr>
            <w:r>
              <w:rPr>
                <w:sz w:val="20"/>
                <w:szCs w:val="20"/>
              </w:rPr>
              <w:t xml:space="preserve">monthly 15 %, hourly 30 %</w:t>
            </w:r>
          </w:p>
        </w:tc>
        <w:tc>
          <w:tcPr/>
          <w:p>
            <w:pPr>
              <w:spacing w:after="0" w:line="240" w:lineRule="auto"/>
              <w:pStyle w:val="Compact"/>
            </w:pPr>
            <w:r>
              <w:rPr>
                <w:sz w:val="20"/>
                <w:szCs w:val="20"/>
              </w:rPr>
              <w:t xml:space="preserve">ASHRAE Guideline 14</w:t>
            </w:r>
          </w:p>
        </w:tc>
      </w:tr>
      <w:tr>
        <w:tc>
          <w:tcPr/>
          <w:p>
            <w:pPr>
              <w:spacing w:after="0" w:line="240" w:lineRule="auto"/>
              <w:pStyle w:val="Compact"/>
            </w:pPr>
            <w:r>
              <w:rPr>
                <w:sz w:val="20"/>
                <w:szCs w:val="20"/>
              </w:rPr>
              <w:t xml:space="preserve">3 Downstream</w:t>
            </w:r>
          </w:p>
        </w:tc>
        <w:tc>
          <w:tcPr/>
          <w:p>
            <w:pPr>
              <w:spacing w:after="0" w:line="240" w:lineRule="auto"/>
              <w:pStyle w:val="Compact"/>
            </w:pPr>
            <w:r>
              <w:rPr>
                <w:sz w:val="20"/>
                <w:szCs w:val="20"/>
              </w:rPr>
              <w:t xml:space="preserve">Peak demand magnitude + timing</w:t>
            </w:r>
          </w:p>
        </w:tc>
        <w:tc>
          <w:tcPr/>
          <w:p>
            <w:pPr>
              <w:spacing w:after="0" w:line="240" w:lineRule="auto"/>
              <w:pStyle w:val="Compact"/>
            </w:pPr>
            <w:r>
              <w:rPr>
                <w:sz w:val="20"/>
                <w:szCs w:val="20"/>
              </w:rPr>
              <w:t xml:space="preserve">magnitude ±15 %; timing ≤ 1 h</w:t>
            </w:r>
          </w:p>
        </w:tc>
        <w:tc>
          <w:tcPr/>
          <w:p>
            <w:pPr>
              <w:spacing w:after="0" w:line="240" w:lineRule="auto"/>
              <w:pStyle w:val="Compact"/>
            </w:pPr>
            <w:r>
              <w:rPr>
                <w:sz w:val="20"/>
                <w:szCs w:val="20"/>
              </w:rPr>
              <w:t xml:space="preserve">project-chosen</w:t>
            </w:r>
          </w:p>
        </w:tc>
      </w:tr>
    </w:tbl>
    <w:bookmarkEnd w:id="43"/>
    <w:bookmarkStart w:id="44" w:name="b-channel-specific-checks"/>
    <w:p>
      <w:pPr>
        <w:pStyle w:val="Heading3"/>
      </w:pPr>
      <w:r>
        <w:t xml:space="preserve">(b) Channel-specific checks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Layer</w:t>
            </w:r>
          </w:p>
        </w:tc>
        <w:tc>
          <w:tcPr/>
          <w:p>
            <w:pPr>
              <w:spacing w:after="0" w:line="240" w:lineRule="auto"/>
              <w:pStyle w:val="Compact"/>
            </w:pPr>
            <w:r>
              <w:rPr>
                <w:sz w:val="20"/>
                <w:szCs w:val="20"/>
              </w:rPr>
              <w:t xml:space="preserve">Check</w:t>
            </w:r>
          </w:p>
        </w:tc>
        <w:tc>
          <w:tcPr/>
          <w:p>
            <w:pPr>
              <w:spacing w:after="0" w:line="240" w:lineRule="auto"/>
              <w:pStyle w:val="Compact"/>
            </w:pPr>
            <w:r>
              <w:rPr>
                <w:sz w:val="20"/>
                <w:szCs w:val="20"/>
              </w:rPr>
              <w:t xml:space="preserve">Target</w:t>
            </w:r>
          </w:p>
        </w:tc>
        <w:tc>
          <w:tcPr/>
          <w:p>
            <w:pPr>
              <w:spacing w:after="0" w:line="240" w:lineRule="auto"/>
              <w:pStyle w:val="Compact"/>
            </w:pPr>
            <w:r>
              <w:rPr>
                <w:sz w:val="20"/>
                <w:szCs w:val="20"/>
              </w:rPr>
              <w:t xml:space="preserve">Provenance</w:t>
            </w:r>
          </w:p>
        </w:tc>
      </w:tr>
      <w:tr>
        <w:tc>
          <w:tcPr/>
          <w:p>
            <w:pPr>
              <w:spacing w:after="0" w:line="240" w:lineRule="auto"/>
              <w:pStyle w:val="Compact"/>
            </w:pPr>
            <w:r>
              <w:rPr>
                <w:sz w:val="20"/>
                <w:szCs w:val="20"/>
              </w:rPr>
              <w:t xml:space="preserve">Location mapping</w:t>
            </w:r>
          </w:p>
        </w:tc>
        <w:tc>
          <w:tcPr/>
          <w:p>
            <w:pPr>
              <w:spacing w:after="0" w:line="240" w:lineRule="auto"/>
              <w:pStyle w:val="Compact"/>
            </w:pPr>
            <w:r>
              <w:rPr>
                <w:sz w:val="20"/>
                <w:szCs w:val="20"/>
              </w:rPr>
              <w:t xml:space="preserve">Retail presence rate, weekday 12:00-14:00, per cycle</w:t>
            </w:r>
          </w:p>
        </w:tc>
        <w:tc>
          <w:tcPr/>
          <w:p>
            <w:pPr>
              <w:spacing w:after="0" w:line="240" w:lineRule="auto"/>
              <w:pStyle w:val="Compact"/>
            </w:pPr>
            <w:r>
              <w:rPr>
                <w:sz w:val="20"/>
                <w:szCs w:val="20"/>
              </w:rPr>
              <w:t xml:space="preserve">0.06-0.10 (central ≈ 0.079)</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Location mapping</w:t>
            </w:r>
          </w:p>
        </w:tc>
        <w:tc>
          <w:tcPr/>
          <w:p>
            <w:pPr>
              <w:spacing w:after="0" w:line="240" w:lineRule="auto"/>
              <w:pStyle w:val="Compact"/>
            </w:pPr>
            <w:r>
              <w:rPr>
                <w:sz w:val="20"/>
                <w:szCs w:val="20"/>
              </w:rPr>
              <w:t xml:space="preserve">Saturday peak rate, 13:00-16:00</w:t>
            </w:r>
          </w:p>
        </w:tc>
        <w:tc>
          <w:tcPr/>
          <w:p>
            <w:pPr>
              <w:spacing w:after="0" w:line="240" w:lineRule="auto"/>
              <w:pStyle w:val="Compact"/>
            </w:pPr>
            <w:r>
              <w:rPr>
                <w:sz w:val="20"/>
                <w:szCs w:val="20"/>
              </w:rPr>
              <w:t xml:space="preserve">0.09-0.12</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Location mapping</w:t>
            </w:r>
          </w:p>
        </w:tc>
        <w:tc>
          <w:tcPr/>
          <w:p>
            <w:pPr>
              <w:spacing w:after="0" w:line="240" w:lineRule="auto"/>
              <w:pStyle w:val="Compact"/>
            </w:pPr>
            <w:r>
              <w:rPr>
                <w:sz w:val="20"/>
                <w:szCs w:val="20"/>
              </w:rPr>
              <w:t xml:space="preserve">Sunday peak rate, per city</w:t>
            </w:r>
          </w:p>
        </w:tc>
        <w:tc>
          <w:tcPr/>
          <w:p>
            <w:pPr>
              <w:spacing w:after="0" w:line="240" w:lineRule="auto"/>
              <w:pStyle w:val="Compact"/>
            </w:pPr>
            <w:r>
              <w:rPr>
                <w:sz w:val="20"/>
                <w:szCs w:val="20"/>
              </w:rPr>
              <w:t xml:space="preserve">Calgary 0.06-0.10 / Montreal 0.04-0.07</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Location mapping</w:t>
            </w:r>
          </w:p>
        </w:tc>
        <w:tc>
          <w:tcPr/>
          <w:p>
            <w:pPr>
              <w:spacing w:after="0" w:line="240" w:lineRule="auto"/>
              <w:pStyle w:val="Compact"/>
            </w:pPr>
            <w:r>
              <w:rPr>
                <w:sz w:val="20"/>
                <w:szCs w:val="20"/>
              </w:rPr>
              <w:t xml:space="preserve">Night slots 00:00-05:00, all day-types</w:t>
            </w:r>
          </w:p>
        </w:tc>
        <w:tc>
          <w:tcPr/>
          <w:p>
            <w:pPr>
              <w:spacing w:after="0" w:line="240" w:lineRule="auto"/>
              <w:pStyle w:val="Compact"/>
            </w:pPr>
            <w:r>
              <w:rPr>
                <w:sz w:val="20"/>
                <w:szCs w:val="20"/>
              </w:rPr>
              <w:t xml:space="preserve">0.000-0.003</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Retail rule (Eq. B.1)</w:t>
            </w:r>
          </w:p>
        </w:tc>
        <w:tc>
          <w:tcPr/>
          <w:p>
            <w:pPr>
              <w:spacing w:after="0" w:line="240" w:lineRule="auto"/>
              <w:pStyle w:val="Compact"/>
            </w:pPr>
            <w:r>
              <w:rPr>
                <w:sz w:val="20"/>
                <w:szCs w:val="20"/>
              </w:rPr>
              <w:t xml:space="preserve">Online shopping excluded from retail presence</w:t>
            </w:r>
          </w:p>
        </w:tc>
        <w:tc>
          <w:tcPr/>
          <w:p>
            <w:pPr>
              <w:spacing w:after="0" w:line="240" w:lineRule="auto"/>
              <w:pStyle w:val="Compact"/>
            </w:pPr>
            <w:r>
              <w:rPr>
                <w:sz w:val="20"/>
                <w:szCs w:val="20"/>
              </w:rPr>
              <w:t xml:space="preserve">rule fixed before training; cross-tabulation still reported</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Transformer (JS)</w:t>
            </w:r>
          </w:p>
        </w:tc>
        <w:tc>
          <w:tcPr/>
          <w:p>
            <w:pPr>
              <w:spacing w:after="0" w:line="240" w:lineRule="auto"/>
              <w:pStyle w:val="Compact"/>
            </w:pPr>
            <w:r>
              <w:rPr>
                <w:sz w:val="20"/>
                <w:szCs w:val="20"/>
              </w:rPr>
              <w:t xml:space="preserve">JS for work presence and for retail presence, per stratum</w:t>
            </w:r>
          </w:p>
        </w:tc>
        <w:tc>
          <w:tcPr/>
          <w:p>
            <w:pPr>
              <w:spacing w:after="0" w:line="240" w:lineRule="auto"/>
              <w:pStyle w:val="Compact"/>
            </w:pPr>
            <w:r>
              <w:rPr>
                <w:sz w:val="20"/>
                <w:szCs w:val="20"/>
              </w:rPr>
              <w:t xml:space="preserve">&lt; 0.02 each, paired with PR-AUC / F1 below</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Transformer (Resolution)</w:t>
            </w:r>
          </w:p>
        </w:tc>
        <w:tc>
          <w:tcPr/>
          <w:p>
            <w:pPr>
              <w:spacing w:after="0" w:line="240" w:lineRule="auto"/>
              <w:pStyle w:val="Compact"/>
            </w:pPr>
            <w:r>
              <w:rPr>
                <w:sz w:val="20"/>
                <w:szCs w:val="20"/>
              </w:rPr>
              <w:t xml:space="preserve">PR-AUC and F1 on positive slots, retail presence</w:t>
            </w:r>
          </w:p>
        </w:tc>
        <w:tc>
          <w:tcPr/>
          <w:p>
            <w:pPr>
              <w:spacing w:after="0" w:line="240" w:lineRule="auto"/>
              <w:pStyle w:val="Compact"/>
            </w:pPr>
            <w:r>
              <w:rPr>
                <w:sz w:val="20"/>
                <w:szCs w:val="20"/>
              </w:rPr>
              <w:t xml:space="preserve">PR-AUC ≥ 0.15; F1 ≥ 0.25</w:t>
            </w:r>
          </w:p>
        </w:tc>
        <w:tc>
          <w:tcPr/>
          <w:p>
            <w:pPr>
              <w:spacing w:after="0" w:line="240" w:lineRule="auto"/>
              <w:pStyle w:val="Compact"/>
            </w:pPr>
            <w:r>
              <w:rPr>
                <w:sz w:val="20"/>
                <w:szCs w:val="20"/>
              </w:rPr>
              <w:t xml:space="preserve">heuristic</w:t>
            </w:r>
          </w:p>
        </w:tc>
      </w:tr>
      <w:tr>
        <w:tc>
          <w:tcPr/>
          <w:p>
            <w:pPr>
              <w:spacing w:after="0" w:line="240" w:lineRule="auto"/>
              <w:pStyle w:val="Compact"/>
            </w:pPr>
            <w:r>
              <w:rPr>
                <w:sz w:val="20"/>
                <w:szCs w:val="20"/>
              </w:rPr>
              <w:t xml:space="preserve">Transformer (Dynamics)</w:t>
            </w:r>
          </w:p>
        </w:tc>
        <w:tc>
          <w:tcPr/>
          <w:p>
            <w:pPr>
              <w:spacing w:after="0" w:line="240" w:lineRule="auto"/>
              <w:pStyle w:val="Compact"/>
            </w:pPr>
            <w:r>
              <w:rPr>
                <w:sz w:val="20"/>
                <w:szCs w:val="20"/>
              </w:rPr>
              <w:t xml:space="preserve">Midday (11-14 h) rate error and transitions/day</w:t>
            </w:r>
          </w:p>
        </w:tc>
        <w:tc>
          <w:tcPr/>
          <w:p>
            <w:pPr>
              <w:spacing w:after="0" w:line="240" w:lineRule="auto"/>
              <w:pStyle w:val="Compact"/>
            </w:pPr>
            <w:r>
              <w:rPr>
                <w:sz w:val="20"/>
                <w:szCs w:val="20"/>
              </w:rPr>
              <w:t xml:space="preserve">error ≤ 3.0 pp; transitions ≥ 0.05/day</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Transformer (Regression)</w:t>
            </w:r>
          </w:p>
        </w:tc>
        <w:tc>
          <w:tcPr/>
          <w:p>
            <w:pPr>
              <w:spacing w:after="0" w:line="240" w:lineRule="auto"/>
              <w:pStyle w:val="Compact"/>
            </w:pPr>
            <w:r>
              <w:rPr>
                <w:sz w:val="20"/>
                <w:szCs w:val="20"/>
              </w:rPr>
              <w:t xml:space="preserve">Head 1 and Head 2 JS drift</w:t>
            </w:r>
          </w:p>
        </w:tc>
        <w:tc>
          <w:tcPr/>
          <w:p>
            <w:pPr>
              <w:spacing w:after="0" w:line="240" w:lineRule="auto"/>
              <w:pStyle w:val="Compact"/>
            </w:pPr>
            <m:oMath>
              <m:r>
                <m:rPr>
                  <m:sty m:val="p"/>
                </m:rPr>
                <m:t>Δ</m:t>
              </m:r>
              <m:r>
                <m:rPr>
                  <m:sty m:val="p"/>
                </m:rPr>
                <m:t>J</m:t>
              </m:r>
              <m:r>
                <m:rPr>
                  <m:sty m:val="p"/>
                </m:rPr>
                <m:t>S</m:t>
              </m:r>
              <m:r>
                <m:rPr>
                  <m:sty m:val="p"/>
                </m:rPr>
                <m:t>≤</m:t>
              </m:r>
              <m:r>
                <m:t>0.002</m:t>
              </m:r>
            </m:oMath>
            <w:r>
              <w:rPr>
                <w:sz w:val="20"/>
                <w:szCs w:val="20"/>
              </w:rPr>
              <w:t xml:space="preserve"> </w:t>
            </w:r>
            <w:r>
              <w:rPr>
                <w:sz w:val="20"/>
                <w:szCs w:val="20"/>
              </w:rPr>
              <w:t xml:space="preserve">bits versus the two-channel version</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Transformer (Exclusivity)</w:t>
            </w:r>
          </w:p>
        </w:tc>
        <w:tc>
          <w:tcPr/>
          <w:p>
            <w:pPr>
              <w:spacing w:after="0" w:line="240" w:lineRule="auto"/>
              <w:pStyle w:val="Compact"/>
            </w:pPr>
            <w:r>
              <w:rPr>
                <w:sz w:val="20"/>
                <w:szCs w:val="20"/>
              </w:rPr>
              <w:t xml:space="preserve">Impossible-State Rate (ISR), slots with more than one channel active</w:t>
            </w:r>
          </w:p>
        </w:tc>
        <w:tc>
          <w:tcPr/>
          <w:p>
            <w:pPr>
              <w:spacing w:after="0" w:line="240" w:lineRule="auto"/>
              <w:pStyle w:val="Compact"/>
            </w:pPr>
            <w:r>
              <w:rPr>
                <w:sz w:val="20"/>
                <w:szCs w:val="20"/>
              </w:rPr>
              <w:t xml:space="preserve">≤ 0.5 % raw; 0 % after projection</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Hotel backcast</w:t>
            </w:r>
          </w:p>
        </w:tc>
        <w:tc>
          <w:tcPr/>
          <w:p>
            <w:pPr>
              <w:spacing w:after="0" w:line="240" w:lineRule="auto"/>
              <w:pStyle w:val="Compact"/>
            </w:pPr>
            <w:r>
              <w:rPr>
                <w:sz w:val="20"/>
                <w:szCs w:val="20"/>
              </w:rPr>
              <w:t xml:space="preserve">Alberta monthly 2015-2019 and Quebec monthly 2019 versus reconstruction</w:t>
            </w:r>
          </w:p>
        </w:tc>
        <w:tc>
          <w:tcPr/>
          <w:p>
            <w:pPr>
              <w:spacing w:after="0" w:line="240" w:lineRule="auto"/>
              <w:pStyle w:val="Compact"/>
            </w:pPr>
            <w:r>
              <w:rPr>
                <w:sz w:val="20"/>
                <w:szCs w:val="20"/>
              </w:rPr>
              <w:t xml:space="preserve">MAE &lt; 0.05</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Hotel COVID dip</w:t>
            </w:r>
          </w:p>
        </w:tc>
        <w:tc>
          <w:tcPr/>
          <w:p>
            <w:pPr>
              <w:spacing w:after="0" w:line="240" w:lineRule="auto"/>
              <w:pStyle w:val="Compact"/>
            </w:pPr>
            <w:r>
              <w:rPr>
                <w:sz w:val="20"/>
                <w:szCs w:val="20"/>
              </w:rPr>
              <w:t xml:space="preserve">2020-04 reconstruction</w:t>
            </w:r>
          </w:p>
        </w:tc>
        <w:tc>
          <w:tcPr/>
          <w:p>
            <w:pPr>
              <w:spacing w:after="0" w:line="240" w:lineRule="auto"/>
              <w:pStyle w:val="Compact"/>
            </w:pPr>
            <w:r>
              <w:rPr>
                <w:sz w:val="20"/>
                <w:szCs w:val="20"/>
              </w:rPr>
              <w:t xml:space="preserve">recovered without overshoot</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BEM end-to-end</w:t>
            </w:r>
          </w:p>
        </w:tc>
        <w:tc>
          <w:tcPr/>
          <w:p>
            <w:pPr>
              <w:spacing w:after="0" w:line="240" w:lineRule="auto"/>
              <w:pStyle w:val="Compact"/>
            </w:pPr>
            <w:r>
              <w:rPr>
                <w:sz w:val="20"/>
                <w:szCs w:val="20"/>
              </w:rPr>
              <w:t xml:space="preserve">Code-schedule control versus 2022, Montreal SuperTall</w:t>
            </w:r>
          </w:p>
        </w:tc>
        <w:tc>
          <w:tcPr/>
          <w:p>
            <w:pPr>
              <w:spacing w:after="0" w:line="240" w:lineRule="auto"/>
              <w:pStyle w:val="Compact"/>
            </w:pPr>
            <w:r>
              <w:rPr>
                <w:sz w:val="20"/>
                <w:szCs w:val="20"/>
              </w:rPr>
              <w:t xml:space="preserve">EUI delta positive; office and hotel dominant</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Floor-area sanity</w:t>
            </w:r>
          </w:p>
        </w:tc>
        <w:tc>
          <w:tcPr/>
          <w:p>
            <w:pPr>
              <w:spacing w:after="0" w:line="240" w:lineRule="auto"/>
              <w:pStyle w:val="Compact"/>
            </w:pPr>
            <w:r>
              <w:rPr>
                <w:sz w:val="20"/>
                <w:szCs w:val="20"/>
              </w:rPr>
              <w:t xml:space="preserve">Per-channel EUI share vs parsed occupiable share</w:t>
            </w:r>
          </w:p>
        </w:tc>
        <w:tc>
          <w:tcPr/>
          <w:p>
            <w:pPr>
              <w:spacing w:after="0" w:line="240" w:lineRule="auto"/>
              <w:pStyle w:val="Compact"/>
            </w:pPr>
            <w:r>
              <w:rPr>
                <w:sz w:val="20"/>
                <w:szCs w:val="20"/>
              </w:rPr>
              <w:t xml:space="preserve">± 2 pp</w:t>
            </w:r>
          </w:p>
        </w:tc>
        <w:tc>
          <w:tcPr/>
          <w:p>
            <w:pPr>
              <w:spacing w:after="0" w:line="240" w:lineRule="auto"/>
              <w:pStyle w:val="Compact"/>
            </w:pPr>
            <w:r>
              <w:rPr>
                <w:sz w:val="20"/>
                <w:szCs w:val="20"/>
              </w:rPr>
              <w:t xml:space="preserve">project-chosen</w:t>
            </w:r>
          </w:p>
        </w:tc>
      </w:tr>
    </w:tbl>
    <w:bookmarkEnd w:id="44"/>
    <w:bookmarkStart w:id="45" w:name="c-wiring-and-differentiation-checks"/>
    <w:p>
      <w:pPr>
        <w:pStyle w:val="Heading3"/>
      </w:pPr>
      <w:r>
        <w:t xml:space="preserve">(c) Wiring and differentiation checks</w:t>
      </w:r>
    </w:p>
    <w:p>
      <w:pPr>
        <w:pStyle w:val="FirstParagraph"/>
      </w:pPr>
      <w:r>
        <w:t xml:space="preserve">Made mandatory because the two-channel version’s occupancy-field wiring defect passed every input-side</w:t>
      </w:r>
      <w:r>
        <w:t xml:space="preserve"> </w:t>
      </w:r>
      <w:r>
        <w:t xml:space="preserve">check and was caught only on the output side (Section S.2).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Layer</w:t>
            </w:r>
          </w:p>
        </w:tc>
        <w:tc>
          <w:tcPr/>
          <w:p>
            <w:pPr>
              <w:spacing w:after="0" w:line="240" w:lineRule="auto"/>
              <w:pStyle w:val="Compact"/>
            </w:pPr>
            <w:r>
              <w:rPr>
                <w:sz w:val="20"/>
                <w:szCs w:val="20"/>
              </w:rPr>
              <w:t xml:space="preserve">Check</w:t>
            </w:r>
          </w:p>
        </w:tc>
        <w:tc>
          <w:tcPr/>
          <w:p>
            <w:pPr>
              <w:spacing w:after="0" w:line="240" w:lineRule="auto"/>
              <w:pStyle w:val="Compact"/>
            </w:pPr>
            <w:r>
              <w:rPr>
                <w:sz w:val="20"/>
                <w:szCs w:val="20"/>
              </w:rPr>
              <w:t xml:space="preserve">Target</w:t>
            </w:r>
          </w:p>
        </w:tc>
        <w:tc>
          <w:tcPr/>
          <w:p>
            <w:pPr>
              <w:spacing w:after="0" w:line="240" w:lineRule="auto"/>
              <w:pStyle w:val="Compact"/>
            </w:pPr>
            <w:r>
              <w:rPr>
                <w:sz w:val="20"/>
                <w:szCs w:val="20"/>
              </w:rPr>
              <w:t xml:space="preserve">Provenance</w:t>
            </w:r>
          </w:p>
        </w:tc>
      </w:tr>
      <w:tr>
        <w:tc>
          <w:tcPr/>
          <w:p>
            <w:pPr>
              <w:spacing w:after="0" w:line="240" w:lineRule="auto"/>
              <w:pStyle w:val="Compact"/>
            </w:pPr>
            <w:r>
              <w:rPr>
                <w:sz w:val="20"/>
                <w:szCs w:val="20"/>
              </w:rPr>
              <w:t xml:space="preserve">Wiring</w:t>
            </w:r>
          </w:p>
        </w:tc>
        <w:tc>
          <w:tcPr/>
          <w:p>
            <w:pPr>
              <w:spacing w:after="0" w:line="240" w:lineRule="auto"/>
              <w:pStyle w:val="Compact"/>
            </w:pPr>
            <w:r>
              <w:rPr>
                <w:sz w:val="20"/>
                <w:szCs w:val="20"/>
              </w:rPr>
              <w:t xml:space="preserve">Post-injection field-reference assertion</w:t>
            </w:r>
          </w:p>
        </w:tc>
        <w:tc>
          <w:tcPr/>
          <w:p>
            <w:pPr>
              <w:spacing w:after="0" w:line="240" w:lineRule="auto"/>
              <w:pStyle w:val="Compact"/>
            </w:pPr>
            <w:r>
              <w:rPr>
                <w:sz w:val="20"/>
                <w:szCs w:val="20"/>
              </w:rPr>
              <w:t xml:space="preserve">100 % of modulated spaces pass</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Simulation</w:t>
            </w:r>
          </w:p>
        </w:tc>
        <w:tc>
          <w:tcPr/>
          <w:p>
            <w:pPr>
              <w:spacing w:after="0" w:line="240" w:lineRule="auto"/>
              <w:pStyle w:val="Compact"/>
            </w:pPr>
            <w:r>
              <w:rPr>
                <w:sz w:val="20"/>
                <w:szCs w:val="20"/>
              </w:rPr>
              <w:t xml:space="preserve">Scenario-differentiation probe</w:t>
            </w:r>
          </w:p>
        </w:tc>
        <w:tc>
          <w:tcPr/>
          <w:p>
            <w:pPr>
              <w:spacing w:after="0" w:line="240" w:lineRule="auto"/>
              <w:pStyle w:val="Compact"/>
            </w:pPr>
            <w:r>
              <w:rPr>
                <w:sz w:val="20"/>
                <w:szCs w:val="20"/>
              </w:rPr>
              <w:t xml:space="preserve">Outputs differ across ≥ 2 scenarios; byte-identical outputs do not pass</w:t>
            </w:r>
          </w:p>
        </w:tc>
        <w:tc>
          <w:tcPr/>
          <w:p>
            <w:pPr>
              <w:spacing w:after="0" w:line="240" w:lineRule="auto"/>
              <w:pStyle w:val="Compact"/>
            </w:pPr>
            <w:r>
              <w:rPr>
                <w:sz w:val="20"/>
                <w:szCs w:val="20"/>
              </w:rPr>
              <w:t xml:space="preserve">project-chosen</w:t>
            </w:r>
          </w:p>
        </w:tc>
      </w:tr>
    </w:tbl>
    <w:bookmarkEnd w:id="45"/>
    <w:bookmarkStart w:id="46" w:name="threshold-provenance"/>
    <w:p>
      <w:pPr>
        <w:pStyle w:val="Heading3"/>
      </w:pPr>
      <w:r>
        <w:t xml:space="preserve">Threshold provenance</w:t>
      </w:r>
    </w:p>
    <w:p>
      <w:pPr>
        <w:pStyle w:val="FirstParagraph"/>
      </w:pPr>
      <w:r>
        <w:t xml:space="preserve">Only two thresholds in this set are literature values, and only they may be cited as such: the NMBE</w:t>
      </w:r>
      <w:r>
        <w:t xml:space="preserve"> </w:t>
      </w:r>
      <w:r>
        <w:t xml:space="preserve">limits of 5 % monthly and 10 % hourly, and the CV(RMSE) limits of 15 % monthly and 30 % hourly, both</w:t>
      </w:r>
      <w:r>
        <w:t xml:space="preserve"> </w:t>
      </w:r>
      <w:r>
        <w:t xml:space="preserve">from ASHRAE Guideline 14. Two more are heuristic, the PR-AUC bar of 0.15 and the F1 bar of 0.25. They were adopted</w:t>
      </w:r>
      <w:r>
        <w:t xml:space="preserve"> </w:t>
      </w:r>
      <w:r>
        <w:t xml:space="preserve">to catch a model that predicts no retail presence at all, and they are treated as heuristic rather</w:t>
      </w:r>
      <w:r>
        <w:t xml:space="preserve"> </w:t>
      </w:r>
      <w:r>
        <w:t xml:space="preserve">than literature-derived. Every other threshold above is project-chosen and was</w:t>
      </w:r>
      <w:r>
        <w:t xml:space="preserve"> </w:t>
      </w:r>
      <w:r>
        <w:t xml:space="preserve">set before any tuning: the family of 0.05 tolerances on divergence, transition-matrix and</w:t>
      </w:r>
      <w:r>
        <w:t xml:space="preserve"> </w:t>
      </w:r>
      <w:r>
        <w:t xml:space="preserve">autocorrelation error, the presence-rate limit of 5 percentage points, the dwell-time test level, the</w:t>
      </w:r>
      <w:r>
        <w:t xml:space="preserve"> </w:t>
      </w:r>
      <w:r>
        <w:t xml:space="preserve">peak magnitude and timing check, the retail rate family, fixing the retail rule before training, the</w:t>
      </w:r>
      <w:r>
        <w:t xml:space="preserve"> </w:t>
      </w:r>
      <w:r>
        <w:t xml:space="preserve">Jensen-Shannon pairing and drift checks, the midday-dynamics check, the impossible-state bar, the hotel backcast and</w:t>
      </w:r>
      <w:r>
        <w:t xml:space="preserve"> </w:t>
      </w:r>
      <w:r>
        <w:t xml:space="preserve">COVID-recovery checks, the decode thresholds of 0.50, 0.40 and 0.15, the wiring and differentiation</w:t>
      </w:r>
      <w:r>
        <w:t xml:space="preserve"> </w:t>
      </w:r>
      <w:r>
        <w:t xml:space="preserve">checks, and the EUI-share check of 2 percentage points. These are acceptance thresholds chosen for this</w:t>
      </w:r>
      <w:r>
        <w:t xml:space="preserve"> </w:t>
      </w:r>
      <w:r>
        <w:t xml:space="preserve">study, not literature values.</w:t>
      </w:r>
    </w:p>
    <w:p>
      <w:pPr>
        <w:pStyle w:val="BodyText"/>
      </w:pPr>
      <w:r>
        <w:rPr>
          <w:b/>
          <w:bCs/>
        </w:rPr>
        <w:t xml:space="preserve">Table S2.</w:t>
      </w:r>
      <w:r>
        <w:t xml:space="preserve"> </w:t>
      </w:r>
      <w:r>
        <w:t xml:space="preserve">Limitations with a bounding measurement for each.</w:t>
      </w:r>
    </w:p>
    <w:p>
      <w:pPr>
        <w:pStyle w:val="BodyText"/>
      </w:pPr>
      <w:r>
        <w:t xml:space="preserve">Section 5 of the main text states the limitations in full; the wording here is condensed to fit a cell. Rows L5 and L7 give values from the simulations reported in the main text; the other rows give design values or measurements made during model development.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ID</w:t>
            </w:r>
          </w:p>
        </w:tc>
        <w:tc>
          <w:tcPr/>
          <w:p>
            <w:pPr>
              <w:spacing w:after="0" w:line="240" w:lineRule="auto"/>
              <w:pStyle w:val="Compact"/>
            </w:pPr>
            <w:r>
              <w:rPr>
                <w:sz w:val="20"/>
                <w:szCs w:val="20"/>
              </w:rPr>
              <w:t xml:space="preserve">Group</w:t>
            </w:r>
          </w:p>
        </w:tc>
        <w:tc>
          <w:tcPr/>
          <w:p>
            <w:pPr>
              <w:spacing w:after="0" w:line="240" w:lineRule="auto"/>
              <w:pStyle w:val="Compact"/>
            </w:pPr>
            <w:r>
              <w:rPr>
                <w:sz w:val="20"/>
                <w:szCs w:val="20"/>
              </w:rPr>
              <w:t xml:space="preserve">Statement</w:t>
            </w:r>
          </w:p>
        </w:tc>
        <w:tc>
          <w:tcPr/>
          <w:p>
            <w:pPr>
              <w:spacing w:after="0" w:line="240" w:lineRule="auto"/>
              <w:pStyle w:val="Compact"/>
            </w:pPr>
            <w:r>
              <w:rPr>
                <w:sz w:val="20"/>
                <w:szCs w:val="20"/>
              </w:rPr>
              <w:t xml:space="preserve">Bounding measurement</w:t>
            </w:r>
          </w:p>
        </w:tc>
      </w:tr>
      <w:tr>
        <w:tc>
          <w:tcPr/>
          <w:p>
            <w:pPr>
              <w:spacing w:after="0" w:line="240" w:lineRule="auto"/>
              <w:pStyle w:val="Compact"/>
            </w:pPr>
            <w:r>
              <w:rPr>
                <w:sz w:val="20"/>
                <w:szCs w:val="20"/>
              </w:rPr>
              <w:t xml:space="preserve">L1</w:t>
            </w:r>
          </w:p>
        </w:tc>
        <w:tc>
          <w:tcPr/>
          <w:p>
            <w:pPr>
              <w:spacing w:after="0" w:line="240" w:lineRule="auto"/>
              <w:pStyle w:val="Compact"/>
            </w:pPr>
            <w:r>
              <w:rPr>
                <w:sz w:val="20"/>
                <w:szCs w:val="20"/>
              </w:rPr>
              <w:t xml:space="preserve">Frame</w:t>
            </w:r>
          </w:p>
        </w:tc>
        <w:tc>
          <w:tcPr/>
          <w:p>
            <w:pPr>
              <w:spacing w:after="0" w:line="240" w:lineRule="auto"/>
              <w:pStyle w:val="Compact"/>
            </w:pPr>
            <w:r>
              <w:rPr>
                <w:sz w:val="20"/>
                <w:szCs w:val="20"/>
              </w:rPr>
              <w:t xml:space="preserve">Hotel guests are outside the survey frame; the channel is driven by a tourism series.</w:t>
            </w:r>
          </w:p>
        </w:tc>
        <w:tc>
          <w:tcPr/>
          <w:p>
            <w:pPr>
              <w:spacing w:after="0" w:line="240" w:lineRule="auto"/>
              <w:pStyle w:val="Compact"/>
            </w:pPr>
            <w:r>
              <w:rPr>
                <w:sz w:val="20"/>
                <w:szCs w:val="20"/>
              </w:rPr>
              <w:t xml:space="preserve">The survey observes 0 % of hotel occupancy: 3 of 4 channels time-use-driven, 1 series-driven.</w:t>
            </w:r>
          </w:p>
        </w:tc>
      </w:tr>
      <w:tr>
        <w:tc>
          <w:tcPr/>
          <w:p>
            <w:pPr>
              <w:spacing w:after="0" w:line="240" w:lineRule="auto"/>
              <w:pStyle w:val="Compact"/>
            </w:pPr>
            <w:r>
              <w:rPr>
                <w:sz w:val="20"/>
                <w:szCs w:val="20"/>
              </w:rPr>
              <w:t xml:space="preserve">L2</w:t>
            </w:r>
          </w:p>
        </w:tc>
        <w:tc>
          <w:tcPr/>
          <w:p>
            <w:pPr>
              <w:spacing w:after="0" w:line="240" w:lineRule="auto"/>
              <w:pStyle w:val="Compact"/>
            </w:pPr>
            <w:r>
              <w:rPr>
                <w:sz w:val="20"/>
                <w:szCs w:val="20"/>
              </w:rPr>
              <w:t xml:space="preserve">Frame</w:t>
            </w:r>
          </w:p>
        </w:tc>
        <w:tc>
          <w:tcPr/>
          <w:p>
            <w:pPr>
              <w:spacing w:after="0" w:line="240" w:lineRule="auto"/>
              <w:pStyle w:val="Compact"/>
            </w:pPr>
            <w:r>
              <w:rPr>
                <w:sz w:val="20"/>
                <w:szCs w:val="20"/>
              </w:rPr>
              <w:t xml:space="preserve">Retail sees customers only; staff are logged as at work.</w:t>
            </w:r>
          </w:p>
        </w:tc>
        <w:tc>
          <w:tcPr/>
          <w:p>
            <w:pPr>
              <w:spacing w:after="0" w:line="240" w:lineRule="auto"/>
              <w:pStyle w:val="Compact"/>
            </w:pPr>
            <w:r>
              <w:rPr>
                <w:sz w:val="20"/>
                <w:szCs w:val="20"/>
              </w:rPr>
              <w:t xml:space="preserve">0 % of retail staff presence enters the signal, and 0 % of retail plug load is modulated by it.</w:t>
            </w:r>
          </w:p>
        </w:tc>
      </w:tr>
      <w:tr>
        <w:tc>
          <w:tcPr/>
          <w:p>
            <w:pPr>
              <w:spacing w:after="0" w:line="240" w:lineRule="auto"/>
              <w:pStyle w:val="Compact"/>
            </w:pPr>
            <w:r>
              <w:rPr>
                <w:sz w:val="20"/>
                <w:szCs w:val="20"/>
              </w:rPr>
              <w:t xml:space="preserve">L3</w:t>
            </w:r>
          </w:p>
        </w:tc>
        <w:tc>
          <w:tcPr/>
          <w:p>
            <w:pPr>
              <w:spacing w:after="0" w:line="240" w:lineRule="auto"/>
              <w:pStyle w:val="Compact"/>
            </w:pPr>
            <w:r>
              <w:rPr>
                <w:sz w:val="20"/>
                <w:szCs w:val="20"/>
              </w:rPr>
              <w:t xml:space="preserve">Frame</w:t>
            </w:r>
          </w:p>
        </w:tc>
        <w:tc>
          <w:tcPr/>
          <w:p>
            <w:pPr>
              <w:spacing w:after="0" w:line="240" w:lineRule="auto"/>
              <w:pStyle w:val="Compact"/>
            </w:pPr>
            <w:r>
              <w:rPr>
                <w:sz w:val="20"/>
                <w:szCs w:val="20"/>
              </w:rPr>
              <w:t xml:space="preserve">Residential intra-household diversity is partial; the stronger claim of exactly zero is falsified.</w:t>
            </w:r>
          </w:p>
        </w:tc>
        <w:tc>
          <w:tcPr/>
          <w:p>
            <w:pPr>
              <w:spacing w:after="0" w:line="240" w:lineRule="auto"/>
              <w:pStyle w:val="Compact"/>
            </w:pPr>
            <w:r>
              <w:rPr>
                <w:sz w:val="20"/>
                <w:szCs w:val="20"/>
              </w:rPr>
              <w:t xml:space="preserve">3,499 of 16,367 multi-person households, 21.38 %, carry a slot value outside 0, 0.5 and 1.</w:t>
            </w:r>
          </w:p>
        </w:tc>
      </w:tr>
      <w:tr>
        <w:tc>
          <w:tcPr/>
          <w:p>
            <w:pPr>
              <w:spacing w:after="0" w:line="240" w:lineRule="auto"/>
              <w:pStyle w:val="Compact"/>
            </w:pPr>
            <w:r>
              <w:rPr>
                <w:sz w:val="20"/>
                <w:szCs w:val="20"/>
              </w:rPr>
              <w:t xml:space="preserve">L4</w:t>
            </w:r>
          </w:p>
        </w:tc>
        <w:tc>
          <w:tcPr/>
          <w:p>
            <w:pPr>
              <w:spacing w:after="0" w:line="240" w:lineRule="auto"/>
              <w:pStyle w:val="Compact"/>
            </w:pPr>
            <w:r>
              <w:rPr>
                <w:sz w:val="20"/>
                <w:szCs w:val="20"/>
              </w:rPr>
              <w:t xml:space="preserve">Reference ranges</w:t>
            </w:r>
          </w:p>
        </w:tc>
        <w:tc>
          <w:tcPr/>
          <w:p>
            <w:pPr>
              <w:spacing w:after="0" w:line="240" w:lineRule="auto"/>
              <w:pStyle w:val="Compact"/>
            </w:pPr>
            <w:r>
              <w:rPr>
                <w:sz w:val="20"/>
                <w:szCs w:val="20"/>
              </w:rPr>
              <w:t xml:space="preserve">The office floor is contested and unsourced; the check result reflects the fit of the range to this tower, not a model defect.</w:t>
            </w:r>
          </w:p>
        </w:tc>
        <w:tc>
          <w:tcPr/>
          <w:p>
            <w:pPr>
              <w:spacing w:after="0" w:line="240" w:lineRule="auto"/>
              <w:pStyle w:val="Compact"/>
            </w:pPr>
            <w:r>
              <w:rPr>
                <w:sz w:val="20"/>
                <w:szCs w:val="20"/>
              </w:rPr>
              <w:t xml:space="preserve">The code-schedule control scores 85.36 against a floor of 100. Two candidate explanations were ruled out; the reference source gives three different floors.</w:t>
            </w:r>
          </w:p>
        </w:tc>
      </w:tr>
      <w:tr>
        <w:tc>
          <w:tcPr/>
          <w:p>
            <w:pPr>
              <w:spacing w:after="0" w:line="240" w:lineRule="auto"/>
              <w:pStyle w:val="Compact"/>
            </w:pPr>
            <w:r>
              <w:rPr>
                <w:sz w:val="20"/>
                <w:szCs w:val="20"/>
              </w:rPr>
              <w:t xml:space="preserve">L5</w:t>
            </w:r>
          </w:p>
        </w:tc>
        <w:tc>
          <w:tcPr/>
          <w:p>
            <w:pPr>
              <w:spacing w:after="0" w:line="240" w:lineRule="auto"/>
              <w:pStyle w:val="Compact"/>
            </w:pPr>
            <w:r>
              <w:rPr>
                <w:sz w:val="20"/>
                <w:szCs w:val="20"/>
              </w:rPr>
              <w:t xml:space="preserve">Reference ranges</w:t>
            </w:r>
          </w:p>
        </w:tc>
        <w:tc>
          <w:tcPr/>
          <w:p>
            <w:pPr>
              <w:spacing w:after="0" w:line="240" w:lineRule="auto"/>
              <w:pStyle w:val="Compact"/>
            </w:pPr>
            <w:r>
              <w:rPr>
                <w:sz w:val="20"/>
                <w:szCs w:val="20"/>
              </w:rPr>
              <w:t xml:space="preserve">The hotel reference range comes from a different building archetype and different cities.</w:t>
            </w:r>
          </w:p>
        </w:tc>
        <w:tc>
          <w:tcPr/>
          <w:p>
            <w:pPr>
              <w:spacing w:after="0" w:line="240" w:lineRule="auto"/>
              <w:pStyle w:val="Compact"/>
            </w:pPr>
            <w:r>
              <w:rPr>
                <w:sz w:val="20"/>
                <w:szCs w:val="20"/>
              </w:rPr>
              <w:t xml:space="preserve">Reference 284.44 and 299.28 kWh/m2/yr. Outside the range in 28 of 56 simulations, all in the Tall tower and all over the 300 ceiling; simulated values 204.83-321.55.</w:t>
            </w:r>
          </w:p>
        </w:tc>
      </w:tr>
      <w:tr>
        <w:tc>
          <w:tcPr/>
          <w:p>
            <w:pPr>
              <w:spacing w:after="0" w:line="240" w:lineRule="auto"/>
              <w:pStyle w:val="Compact"/>
            </w:pPr>
            <w:r>
              <w:rPr>
                <w:sz w:val="20"/>
                <w:szCs w:val="20"/>
              </w:rPr>
              <w:t xml:space="preserve">L6</w:t>
            </w:r>
          </w:p>
        </w:tc>
        <w:tc>
          <w:tcPr/>
          <w:p>
            <w:pPr>
              <w:spacing w:after="0" w:line="240" w:lineRule="auto"/>
              <w:pStyle w:val="Compact"/>
            </w:pPr>
            <w:r>
              <w:rPr>
                <w:sz w:val="20"/>
                <w:szCs w:val="20"/>
              </w:rPr>
              <w:t xml:space="preserve">Reference ranges</w:t>
            </w:r>
          </w:p>
        </w:tc>
        <w:tc>
          <w:tcPr/>
          <w:p>
            <w:pPr>
              <w:spacing w:after="0" w:line="240" w:lineRule="auto"/>
              <w:pStyle w:val="Compact"/>
            </w:pPr>
            <w:r>
              <w:rPr>
                <w:sz w:val="20"/>
                <w:szCs w:val="20"/>
              </w:rPr>
              <w:t xml:space="preserve">The stacked-channel explanation for low hotel EUI is not used in this paper.</w:t>
            </w:r>
          </w:p>
        </w:tc>
        <w:tc>
          <w:tcPr/>
          <w:p>
            <w:pPr>
              <w:spacing w:after="0" w:line="240" w:lineRule="auto"/>
              <w:pStyle w:val="Compact"/>
            </w:pPr>
            <w:r>
              <w:rPr>
                <w:sz w:val="20"/>
                <w:szCs w:val="20"/>
              </w:rPr>
              <w:t xml:space="preserve">Not evaluated in the reported runs.</w:t>
            </w:r>
          </w:p>
        </w:tc>
      </w:tr>
      <w:tr>
        <w:tc>
          <w:tcPr/>
          <w:p>
            <w:pPr>
              <w:spacing w:after="0" w:line="240" w:lineRule="auto"/>
              <w:pStyle w:val="Compact"/>
            </w:pPr>
            <w:r>
              <w:rPr>
                <w:sz w:val="20"/>
                <w:szCs w:val="20"/>
              </w:rPr>
              <w:t xml:space="preserve">L7</w:t>
            </w:r>
          </w:p>
        </w:tc>
        <w:tc>
          <w:tcPr/>
          <w:p>
            <w:pPr>
              <w:spacing w:after="0" w:line="240" w:lineRule="auto"/>
              <w:pStyle w:val="Compact"/>
            </w:pPr>
            <w:r>
              <w:rPr>
                <w:sz w:val="20"/>
                <w:szCs w:val="20"/>
              </w:rPr>
              <w:t xml:space="preserve">Reference ranges</w:t>
            </w:r>
          </w:p>
        </w:tc>
        <w:tc>
          <w:tcPr/>
          <w:p>
            <w:pPr>
              <w:spacing w:after="0" w:line="240" w:lineRule="auto"/>
              <w:pStyle w:val="Compact"/>
            </w:pPr>
            <w:r>
              <w:rPr>
                <w:sz w:val="20"/>
                <w:szCs w:val="20"/>
              </w:rPr>
              <w:t xml:space="preserve">Retail is validated on shape, not level; no time-of-day in-store reference exists.</w:t>
            </w:r>
          </w:p>
        </w:tc>
        <w:tc>
          <w:tcPr/>
          <w:p>
            <w:pPr>
              <w:spacing w:after="0" w:line="240" w:lineRule="auto"/>
              <w:pStyle w:val="Compact"/>
            </w:pPr>
            <w:r>
              <w:rPr>
                <w:sz w:val="20"/>
                <w:szCs w:val="20"/>
              </w:rPr>
              <w:t xml:space="preserve">Median 84.82 against a floor of 80, inside the range; 19 of 56 simulations under the floor. The retail rate check is reported for information only.</w:t>
            </w:r>
          </w:p>
        </w:tc>
      </w:tr>
      <w:tr>
        <w:tc>
          <w:tcPr/>
          <w:p>
            <w:pPr>
              <w:spacing w:after="0" w:line="240" w:lineRule="auto"/>
              <w:pStyle w:val="Compact"/>
            </w:pPr>
            <w:r>
              <w:rPr>
                <w:sz w:val="20"/>
                <w:szCs w:val="20"/>
              </w:rPr>
              <w:t xml:space="preserve">L8</w:t>
            </w:r>
          </w:p>
        </w:tc>
        <w:tc>
          <w:tcPr/>
          <w:p>
            <w:pPr>
              <w:spacing w:after="0" w:line="240" w:lineRule="auto"/>
              <w:pStyle w:val="Compact"/>
            </w:pPr>
            <w:r>
              <w:rPr>
                <w:sz w:val="20"/>
                <w:szCs w:val="20"/>
              </w:rPr>
              <w:t xml:space="preserve">Reference ranges</w:t>
            </w:r>
          </w:p>
        </w:tc>
        <w:tc>
          <w:tcPr/>
          <w:p>
            <w:pPr>
              <w:spacing w:after="0" w:line="240" w:lineRule="auto"/>
              <w:pStyle w:val="Compact"/>
            </w:pPr>
            <w:r>
              <w:rPr>
                <w:sz w:val="20"/>
                <w:szCs w:val="20"/>
              </w:rPr>
              <w:t xml:space="preserve">Residential has no reference range that matches the modelled building; the survey high-rise figure is context only.</w:t>
            </w:r>
          </w:p>
        </w:tc>
        <w:tc>
          <w:tcPr/>
          <w:p>
            <w:pPr>
              <w:spacing w:after="0" w:line="240" w:lineRule="auto"/>
              <w:pStyle w:val="Compact"/>
            </w:pPr>
            <w:r>
              <w:rPr>
                <w:sz w:val="20"/>
                <w:szCs w:val="20"/>
              </w:rPr>
              <w:t xml:space="preserve">130.6 kWh/m2/yr over 113.9-147.2, never a pass criterion.</w:t>
            </w:r>
          </w:p>
        </w:tc>
      </w:tr>
      <w:tr>
        <w:tc>
          <w:tcPr/>
          <w:p>
            <w:pPr>
              <w:spacing w:after="0" w:line="240" w:lineRule="auto"/>
              <w:pStyle w:val="Compact"/>
            </w:pPr>
            <w:r>
              <w:rPr>
                <w:sz w:val="20"/>
                <w:szCs w:val="20"/>
              </w:rPr>
              <w:t xml:space="preserve">L9</w:t>
            </w:r>
          </w:p>
        </w:tc>
        <w:tc>
          <w:tcPr/>
          <w:p>
            <w:pPr>
              <w:spacing w:after="0" w:line="240" w:lineRule="auto"/>
              <w:pStyle w:val="Compact"/>
            </w:pPr>
            <w:r>
              <w:rPr>
                <w:sz w:val="20"/>
                <w:szCs w:val="20"/>
              </w:rPr>
              <w:t xml:space="preserve">Internal gains</w:t>
            </w:r>
          </w:p>
        </w:tc>
        <w:tc>
          <w:tcPr/>
          <w:p>
            <w:pPr>
              <w:spacing w:after="0" w:line="240" w:lineRule="auto"/>
              <w:pStyle w:val="Compact"/>
            </w:pPr>
            <w:r>
              <w:rPr>
                <w:sz w:val="20"/>
                <w:szCs w:val="20"/>
              </w:rPr>
              <w:t xml:space="preserve">Retail runs on the code’s office occupant density, not its retail figure.</w:t>
            </w:r>
          </w:p>
        </w:tc>
        <w:tc>
          <w:tcPr/>
          <w:p>
            <w:pPr>
              <w:spacing w:after="0" w:line="240" w:lineRule="auto"/>
              <w:pStyle w:val="Compact"/>
            </w:pPr>
            <w:r>
              <w:rPr>
                <w:sz w:val="20"/>
                <w:szCs w:val="20"/>
              </w:rPr>
              <w:t xml:space="preserve">24.97 against 29.97 m2/person, so retail is roughly 20 % over-crowded.</w:t>
            </w:r>
          </w:p>
        </w:tc>
      </w:tr>
      <w:tr>
        <w:tc>
          <w:tcPr/>
          <w:p>
            <w:pPr>
              <w:spacing w:after="0" w:line="240" w:lineRule="auto"/>
              <w:pStyle w:val="Compact"/>
            </w:pPr>
            <w:r>
              <w:rPr>
                <w:sz w:val="20"/>
                <w:szCs w:val="20"/>
              </w:rPr>
              <w:t xml:space="preserve">L10</w:t>
            </w:r>
          </w:p>
        </w:tc>
        <w:tc>
          <w:tcPr/>
          <w:p>
            <w:pPr>
              <w:spacing w:after="0" w:line="240" w:lineRule="auto"/>
              <w:pStyle w:val="Compact"/>
            </w:pPr>
            <w:r>
              <w:rPr>
                <w:sz w:val="20"/>
                <w:szCs w:val="20"/>
              </w:rPr>
              <w:t xml:space="preserve">Internal gains</w:t>
            </w:r>
          </w:p>
        </w:tc>
        <w:tc>
          <w:tcPr/>
          <w:p>
            <w:pPr>
              <w:spacing w:after="0" w:line="240" w:lineRule="auto"/>
              <w:pStyle w:val="Compact"/>
            </w:pPr>
            <w:r>
              <w:rPr>
                <w:sz w:val="20"/>
                <w:szCs w:val="20"/>
              </w:rPr>
              <w:t xml:space="preserve">Equipment power density is one blanket value; lighting is differentiated.</w:t>
            </w:r>
          </w:p>
        </w:tc>
        <w:tc>
          <w:tcPr/>
          <w:p>
            <w:pPr>
              <w:spacing w:after="0" w:line="240" w:lineRule="auto"/>
              <w:pStyle w:val="Compact"/>
            </w:pPr>
            <w:r>
              <w:rPr>
                <w:sz w:val="20"/>
                <w:szCs w:val="20"/>
              </w:rPr>
              <w:t xml:space="preserve">7.5028 W/m2 on every space type in both towers.</w:t>
            </w:r>
          </w:p>
        </w:tc>
      </w:tr>
      <w:tr>
        <w:tc>
          <w:tcPr/>
          <w:p>
            <w:pPr>
              <w:spacing w:after="0" w:line="240" w:lineRule="auto"/>
              <w:pStyle w:val="Compact"/>
            </w:pPr>
            <w:r>
              <w:rPr>
                <w:sz w:val="20"/>
                <w:szCs w:val="20"/>
              </w:rPr>
              <w:t xml:space="preserve">L11</w:t>
            </w:r>
          </w:p>
        </w:tc>
        <w:tc>
          <w:tcPr/>
          <w:p>
            <w:pPr>
              <w:spacing w:after="0" w:line="240" w:lineRule="auto"/>
              <w:pStyle w:val="Compact"/>
            </w:pPr>
            <w:r>
              <w:rPr>
                <w:sz w:val="20"/>
                <w:szCs w:val="20"/>
              </w:rPr>
              <w:t xml:space="preserve">Internal gains</w:t>
            </w:r>
          </w:p>
        </w:tc>
        <w:tc>
          <w:tcPr/>
          <w:p>
            <w:pPr>
              <w:spacing w:after="0" w:line="240" w:lineRule="auto"/>
              <w:pStyle w:val="Compact"/>
            </w:pPr>
            <w:r>
              <w:rPr>
                <w:sz w:val="20"/>
                <w:szCs w:val="20"/>
              </w:rPr>
              <w:t xml:space="preserve">The retail peak of 0.95 has no source, and the code’s retail schedule was never loaded.</w:t>
            </w:r>
          </w:p>
        </w:tc>
        <w:tc>
          <w:tcPr/>
          <w:p>
            <w:pPr>
              <w:spacing w:after="0" w:line="240" w:lineRule="auto"/>
              <w:pStyle w:val="Compact"/>
            </w:pPr>
            <w:r>
              <w:rPr>
                <w:sz w:val="20"/>
                <w:szCs w:val="20"/>
              </w:rPr>
              <w:t xml:space="preserve">The tower carries the office curve, peak 0.90 with a 0.50 lunch dip, times 0.95: 18.75 % too high, on the wrong shape.</w:t>
            </w:r>
          </w:p>
        </w:tc>
      </w:tr>
      <w:tr>
        <w:tc>
          <w:tcPr/>
          <w:p>
            <w:pPr>
              <w:spacing w:after="0" w:line="240" w:lineRule="auto"/>
              <w:pStyle w:val="Compact"/>
            </w:pPr>
            <w:r>
              <w:rPr>
                <w:sz w:val="20"/>
                <w:szCs w:val="20"/>
              </w:rPr>
              <w:t xml:space="preserve">L12</w:t>
            </w:r>
          </w:p>
        </w:tc>
        <w:tc>
          <w:tcPr/>
          <w:p>
            <w:pPr>
              <w:spacing w:after="0" w:line="240" w:lineRule="auto"/>
              <w:pStyle w:val="Compact"/>
            </w:pPr>
            <w:r>
              <w:rPr>
                <w:sz w:val="20"/>
                <w:szCs w:val="20"/>
              </w:rPr>
              <w:t xml:space="preserve">Method conventions</w:t>
            </w:r>
          </w:p>
        </w:tc>
        <w:tc>
          <w:tcPr/>
          <w:p>
            <w:pPr>
              <w:spacing w:after="0" w:line="240" w:lineRule="auto"/>
              <w:pStyle w:val="Compact"/>
            </w:pPr>
            <w:r>
              <w:rPr>
                <w:sz w:val="20"/>
                <w:szCs w:val="20"/>
              </w:rPr>
              <w:t xml:space="preserve">The minimum pool size of 15 is an analyst judgement, presented as one.</w:t>
            </w:r>
          </w:p>
        </w:tc>
        <w:tc>
          <w:tcPr/>
          <w:p>
            <w:pPr>
              <w:spacing w:after="0" w:line="240" w:lineRule="auto"/>
              <w:pStyle w:val="Compact"/>
            </w:pPr>
            <w:r>
              <w:rPr>
                <w:sz w:val="20"/>
                <w:szCs w:val="20"/>
              </w:rPr>
              <w:t xml:space="preserve">The nearest literature value is 5, a study design rather than a recommendation. The check is non-monotonic: it does not pass at 10, passes at 11-20 and does not pass at 30.</w:t>
            </w:r>
          </w:p>
        </w:tc>
      </w:tr>
      <w:tr>
        <w:tc>
          <w:tcPr/>
          <w:p>
            <w:pPr>
              <w:spacing w:after="0" w:line="240" w:lineRule="auto"/>
              <w:pStyle w:val="Compact"/>
            </w:pPr>
            <w:r>
              <w:rPr>
                <w:sz w:val="20"/>
                <w:szCs w:val="20"/>
              </w:rPr>
              <w:t xml:space="preserve">L13</w:t>
            </w:r>
          </w:p>
        </w:tc>
        <w:tc>
          <w:tcPr/>
          <w:p>
            <w:pPr>
              <w:spacing w:after="0" w:line="240" w:lineRule="auto"/>
              <w:pStyle w:val="Compact"/>
            </w:pPr>
            <w:r>
              <w:rPr>
                <w:sz w:val="20"/>
                <w:szCs w:val="20"/>
              </w:rPr>
              <w:t xml:space="preserve">Method conventions</w:t>
            </w:r>
          </w:p>
        </w:tc>
        <w:tc>
          <w:tcPr/>
          <w:p>
            <w:pPr>
              <w:spacing w:after="0" w:line="240" w:lineRule="auto"/>
              <w:pStyle w:val="Compact"/>
            </w:pPr>
            <w:r>
              <w:rPr>
                <w:sz w:val="20"/>
                <w:szCs w:val="20"/>
              </w:rPr>
              <w:t xml:space="preserve">Household aggregation is the mean, a decision rather than an inheritance.</w:t>
            </w:r>
          </w:p>
        </w:tc>
        <w:tc>
          <w:tcPr/>
          <w:p>
            <w:pPr>
              <w:spacing w:after="0" w:line="240" w:lineRule="auto"/>
              <w:pStyle w:val="Compact"/>
            </w:pPr>
            <w:r>
              <w:rPr>
                <w:sz w:val="20"/>
                <w:szCs w:val="20"/>
              </w:rPr>
              <w:t xml:space="preserve">The three model versions aggregate households in three different ways; this version was checked against its own code.</w:t>
            </w:r>
          </w:p>
        </w:tc>
      </w:tr>
      <w:tr>
        <w:tc>
          <w:tcPr/>
          <w:p>
            <w:pPr>
              <w:spacing w:after="0" w:line="240" w:lineRule="auto"/>
              <w:pStyle w:val="Compact"/>
            </w:pPr>
            <w:r>
              <w:rPr>
                <w:sz w:val="20"/>
                <w:szCs w:val="20"/>
              </w:rPr>
              <w:t xml:space="preserve">L14</w:t>
            </w:r>
          </w:p>
        </w:tc>
        <w:tc>
          <w:tcPr/>
          <w:p>
            <w:pPr>
              <w:spacing w:after="0" w:line="240" w:lineRule="auto"/>
              <w:pStyle w:val="Compact"/>
            </w:pPr>
            <w:r>
              <w:rPr>
                <w:sz w:val="20"/>
                <w:szCs w:val="20"/>
              </w:rPr>
              <w:t xml:space="preserve">Method conventions</w:t>
            </w:r>
          </w:p>
        </w:tc>
        <w:tc>
          <w:tcPr/>
          <w:p>
            <w:pPr>
              <w:spacing w:after="0" w:line="240" w:lineRule="auto"/>
              <w:pStyle w:val="Compact"/>
            </w:pPr>
            <w:r>
              <w:rPr>
                <w:sz w:val="20"/>
                <w:szCs w:val="20"/>
              </w:rPr>
              <w:t xml:space="preserve">The retail episode-time share declines across cycles; it is not stable.</w:t>
            </w:r>
          </w:p>
        </w:tc>
        <w:tc>
          <w:tcPr/>
          <w:p>
            <w:pPr>
              <w:spacing w:after="0" w:line="240" w:lineRule="auto"/>
              <w:pStyle w:val="Compact"/>
            </w:pPr>
            <w:r>
              <w:rPr>
                <w:sz w:val="20"/>
                <w:szCs w:val="20"/>
              </w:rPr>
              <w:t xml:space="preserve">2.00 %, 2.14 %, 1.66 %, 1.50 %, a 25 % decline that three other national series confirm as normal.</w:t>
            </w:r>
          </w:p>
        </w:tc>
      </w:tr>
      <w:tr>
        <w:tc>
          <w:tcPr/>
          <w:p>
            <w:pPr>
              <w:spacing w:after="0" w:line="240" w:lineRule="auto"/>
              <w:pStyle w:val="Compact"/>
            </w:pPr>
            <w:r>
              <w:rPr>
                <w:sz w:val="20"/>
                <w:szCs w:val="20"/>
              </w:rPr>
              <w:t xml:space="preserve">L15</w:t>
            </w:r>
          </w:p>
        </w:tc>
        <w:tc>
          <w:tcPr/>
          <w:p>
            <w:pPr>
              <w:spacing w:after="0" w:line="240" w:lineRule="auto"/>
              <w:pStyle w:val="Compact"/>
            </w:pPr>
            <w:r>
              <w:rPr>
                <w:sz w:val="20"/>
                <w:szCs w:val="20"/>
              </w:rPr>
              <w:t xml:space="preserve">Physical model</w:t>
            </w:r>
          </w:p>
        </w:tc>
        <w:tc>
          <w:tcPr/>
          <w:p>
            <w:pPr>
              <w:spacing w:after="0" w:line="240" w:lineRule="auto"/>
              <w:pStyle w:val="Compact"/>
            </w:pPr>
            <w:r>
              <w:rPr>
                <w:sz w:val="20"/>
                <w:szCs w:val="20"/>
              </w:rPr>
              <w:t xml:space="preserve">Ground-level weather on a supertall tower; the one item with no bounding measurement.</w:t>
            </w:r>
          </w:p>
        </w:tc>
        <w:tc>
          <w:tcPr/>
          <w:p>
            <w:pPr>
              <w:spacing w:after="0" w:line="240" w:lineRule="auto"/>
              <w:pStyle w:val="Compact"/>
            </w:pPr>
            <w:r>
              <w:rPr>
                <w:sz w:val="20"/>
                <w:szCs w:val="20"/>
              </w:rPr>
              <w:t xml:space="preserve">Not quantified. No altitudinal temperature or wind-speed gradient is represented.</w:t>
            </w:r>
          </w:p>
        </w:tc>
      </w:tr>
      <w:tr>
        <w:tc>
          <w:tcPr/>
          <w:p>
            <w:pPr>
              <w:spacing w:after="0" w:line="240" w:lineRule="auto"/>
              <w:pStyle w:val="Compact"/>
            </w:pPr>
            <w:r>
              <w:rPr>
                <w:sz w:val="20"/>
                <w:szCs w:val="20"/>
              </w:rPr>
              <w:t xml:space="preserve">L16</w:t>
            </w:r>
          </w:p>
        </w:tc>
        <w:tc>
          <w:tcPr/>
          <w:p>
            <w:pPr>
              <w:spacing w:after="0" w:line="240" w:lineRule="auto"/>
              <w:pStyle w:val="Compact"/>
            </w:pPr>
            <w:r>
              <w:rPr>
                <w:sz w:val="20"/>
                <w:szCs w:val="20"/>
              </w:rPr>
              <w:t xml:space="preserve">Physical model</w:t>
            </w:r>
          </w:p>
        </w:tc>
        <w:tc>
          <w:tcPr/>
          <w:p>
            <w:pPr>
              <w:spacing w:after="0" w:line="240" w:lineRule="auto"/>
              <w:pStyle w:val="Compact"/>
            </w:pPr>
            <w:r>
              <w:rPr>
                <w:sz w:val="20"/>
                <w:szCs w:val="20"/>
              </w:rPr>
              <w:t xml:space="preserve">The hotel hot-water plant is limited by the capacity of one water heater, and a global resize does not correct it.</w:t>
            </w:r>
          </w:p>
        </w:tc>
        <w:tc>
          <w:tcPr/>
          <w:p>
            <w:pPr>
              <w:spacing w:after="0" w:line="240" w:lineRule="auto"/>
              <w:pStyle w:val="Compact"/>
            </w:pPr>
            <w:r>
              <w:rPr>
                <w:sz w:val="20"/>
                <w:szCs w:val="20"/>
              </w:rPr>
              <w:t xml:space="preserve">Slope -0.98 against draw volume. A global factor of 6 moved that heater’s share from 26.7 % to 65.4 % by reweighting alone.</w:t>
            </w:r>
          </w:p>
        </w:tc>
      </w:tr>
    </w:tbl>
    <w:p>
      <w:pPr>
        <w:pStyle w:val="BodyText"/>
      </w:pPr>
      <w:r>
        <w:rPr>
          <w:b/>
          <w:bCs/>
        </w:rPr>
        <w:t xml:space="preserve">Table S3.</w:t>
      </w:r>
      <w:r>
        <w:t xml:space="preserve"> </w:t>
      </w:r>
      <w:r>
        <w:t xml:space="preserve">Model card and per-cycle retail code mapping.</w:t>
      </w:r>
    </w:p>
    <w:bookmarkEnd w:id="46"/>
    <w:bookmarkStart w:id="47" w:name="a-architecture"/>
    <w:p>
      <w:pPr>
        <w:pStyle w:val="Heading3"/>
      </w:pPr>
      <w:r>
        <w:t xml:space="preserve">(a) Architecture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spacing w:after="0" w:line="240" w:lineRule="auto"/>
              <w:pStyle w:val="Compact"/>
            </w:pPr>
            <w:r>
              <w:rPr>
                <w:sz w:val="20"/>
                <w:szCs w:val="20"/>
              </w:rPr>
              <w:t xml:space="preserve">Component</w:t>
            </w:r>
          </w:p>
        </w:tc>
        <w:tc>
          <w:tcPr/>
          <w:p>
            <w:pPr>
              <w:spacing w:after="0" w:line="240" w:lineRule="auto"/>
              <w:pStyle w:val="Compact"/>
            </w:pPr>
            <w:r>
              <w:rPr>
                <w:sz w:val="20"/>
                <w:szCs w:val="20"/>
              </w:rPr>
              <w:t xml:space="preserve">Specification</w:t>
            </w:r>
          </w:p>
        </w:tc>
      </w:tr>
      <w:tr>
        <w:tc>
          <w:tcPr/>
          <w:p>
            <w:pPr>
              <w:spacing w:after="0" w:line="240" w:lineRule="auto"/>
              <w:pStyle w:val="Compact"/>
            </w:pPr>
            <w:r>
              <w:rPr>
                <w:sz w:val="20"/>
                <w:szCs w:val="20"/>
              </w:rPr>
              <w:t xml:space="preserve">Backbone</w:t>
            </w:r>
          </w:p>
        </w:tc>
        <w:tc>
          <w:tcPr/>
          <w:p>
            <w:pPr>
              <w:spacing w:after="0" w:line="240" w:lineRule="auto"/>
              <w:pStyle w:val="Compact"/>
            </w:pPr>
            <w:r>
              <w:rPr>
                <w:sz w:val="20"/>
                <w:szCs w:val="20"/>
              </w:rPr>
              <w:t xml:space="preserve">Shared multi-head Transformer encoder-decoder, kept from the two-channel version with targeted upgrades rather than replaced</w:t>
            </w:r>
          </w:p>
        </w:tc>
      </w:tr>
      <w:tr>
        <w:tc>
          <w:tcPr/>
          <w:p>
            <w:pPr>
              <w:spacing w:after="0" w:line="240" w:lineRule="auto"/>
              <w:pStyle w:val="Compact"/>
            </w:pPr>
            <w:r>
              <w:rPr>
                <w:sz w:val="20"/>
                <w:szCs w:val="20"/>
              </w:rPr>
              <w:t xml:space="preserve">Encoder</w:t>
            </w:r>
          </w:p>
        </w:tc>
        <w:tc>
          <w:tcPr/>
          <w:p>
            <w:pPr>
              <w:spacing w:after="0" w:line="240" w:lineRule="auto"/>
              <w:pStyle w:val="Compact"/>
            </w:pPr>
            <w:r>
              <w:rPr>
                <w:sz w:val="20"/>
                <w:szCs w:val="20"/>
              </w:rPr>
              <w:t xml:space="preserve">6 layers, model width 256, 8 attention heads, approximately 29M parameters</w:t>
            </w:r>
          </w:p>
        </w:tc>
      </w:tr>
      <w:tr>
        <w:tc>
          <w:tcPr/>
          <w:p>
            <w:pPr>
              <w:spacing w:after="0" w:line="240" w:lineRule="auto"/>
              <w:pStyle w:val="Compact"/>
            </w:pPr>
            <w:r>
              <w:rPr>
                <w:sz w:val="20"/>
                <w:szCs w:val="20"/>
              </w:rPr>
              <w:t xml:space="preserve">Activity decoder</w:t>
            </w:r>
          </w:p>
        </w:tc>
        <w:tc>
          <w:tcPr/>
          <w:p>
            <w:pPr>
              <w:spacing w:after="0" w:line="240" w:lineRule="auto"/>
              <w:pStyle w:val="Compact"/>
            </w:pPr>
            <w:r>
              <w:rPr>
                <w:sz w:val="20"/>
                <w:szCs w:val="20"/>
              </w:rPr>
              <w:t xml:space="preserve">Autoregressive decoder, 14 activity classes, 48 half-hour slots per day</w:t>
            </w:r>
          </w:p>
        </w:tc>
      </w:tr>
      <w:tr>
        <w:tc>
          <w:tcPr/>
          <w:p>
            <w:pPr>
              <w:spacing w:after="0" w:line="240" w:lineRule="auto"/>
              <w:pStyle w:val="Compact"/>
            </w:pPr>
            <w:r>
              <w:rPr>
                <w:sz w:val="20"/>
                <w:szCs w:val="20"/>
              </w:rPr>
              <w:t xml:space="preserve">Head 1</w:t>
            </w:r>
          </w:p>
        </w:tc>
        <w:tc>
          <w:tcPr/>
          <w:p>
            <w:pPr>
              <w:spacing w:after="0" w:line="240" w:lineRule="auto"/>
              <w:pStyle w:val="Compact"/>
            </w:pPr>
            <w:r>
              <w:rPr>
                <w:sz w:val="20"/>
                <w:szCs w:val="20"/>
              </w:rPr>
              <w:t xml:space="preserve">Residential presence, unchanged from the earlier versions</w:t>
            </w:r>
          </w:p>
        </w:tc>
      </w:tr>
      <w:tr>
        <w:tc>
          <w:tcPr/>
          <w:p>
            <w:pPr>
              <w:spacing w:after="0" w:line="240" w:lineRule="auto"/>
              <w:pStyle w:val="Compact"/>
            </w:pPr>
            <w:r>
              <w:rPr>
                <w:sz w:val="20"/>
                <w:szCs w:val="20"/>
              </w:rPr>
              <w:t xml:space="preserve">Head 2</w:t>
            </w:r>
          </w:p>
        </w:tc>
        <w:tc>
          <w:tcPr/>
          <w:p>
            <w:pPr>
              <w:spacing w:after="0" w:line="240" w:lineRule="auto"/>
              <w:pStyle w:val="Compact"/>
            </w:pPr>
            <w:r>
              <w:rPr>
                <w:sz w:val="20"/>
                <w:szCs w:val="20"/>
              </w:rPr>
              <w:t xml:space="preserve">Office presence, unchanged from the two-channel version</w:t>
            </w:r>
          </w:p>
        </w:tc>
      </w:tr>
      <w:tr>
        <w:tc>
          <w:tcPr/>
          <w:p>
            <w:pPr>
              <w:spacing w:after="0" w:line="240" w:lineRule="auto"/>
              <w:pStyle w:val="Compact"/>
            </w:pPr>
            <w:r>
              <w:rPr>
                <w:sz w:val="20"/>
                <w:szCs w:val="20"/>
              </w:rPr>
              <w:t xml:space="preserve">Head 3</w:t>
            </w:r>
          </w:p>
        </w:tc>
        <w:tc>
          <w:tcPr/>
          <w:p>
            <w:pPr>
              <w:spacing w:after="0" w:line="240" w:lineRule="auto"/>
              <w:pStyle w:val="Compact"/>
            </w:pPr>
            <w:r>
              <w:rPr>
                <w:sz w:val="20"/>
                <w:szCs w:val="20"/>
              </w:rPr>
              <w:t xml:space="preserve">Retail presence, new in this study; mirrors Head 2 off the same fused representation, with the activity decoder’s gradient barrier unchanged</w:t>
            </w:r>
          </w:p>
        </w:tc>
      </w:tr>
      <w:tr>
        <w:tc>
          <w:tcPr/>
          <w:p>
            <w:pPr>
              <w:spacing w:after="0" w:line="240" w:lineRule="auto"/>
              <w:pStyle w:val="Compact"/>
            </w:pPr>
            <w:r>
              <w:rPr>
                <w:sz w:val="20"/>
                <w:szCs w:val="20"/>
              </w:rPr>
              <w:t xml:space="preserve">Co-presence head</w:t>
            </w:r>
          </w:p>
        </w:tc>
        <w:tc>
          <w:tcPr/>
          <w:p>
            <w:pPr>
              <w:spacing w:after="0" w:line="240" w:lineRule="auto"/>
              <w:pStyle w:val="Compact"/>
            </w:pPr>
            <w:r>
              <w:rPr>
                <w:sz w:val="20"/>
                <w:szCs w:val="20"/>
              </w:rPr>
              <w:t xml:space="preserve">9-channel co-presence, unmodified by the retail addition</w:t>
            </w:r>
          </w:p>
        </w:tc>
      </w:tr>
    </w:tbl>
    <w:bookmarkEnd w:id="47"/>
    <w:bookmarkStart w:id="48" w:name="b-conditioning-vector-width-120"/>
    <w:p>
      <w:pPr>
        <w:pStyle w:val="Heading3"/>
      </w:pPr>
      <w:r>
        <w:t xml:space="preserve">(b) Conditioning vector (width 120)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spacing w:after="0" w:line="240" w:lineRule="auto"/>
              <w:pStyle w:val="Compact"/>
            </w:pPr>
            <w:r>
              <w:rPr>
                <w:sz w:val="20"/>
                <w:szCs w:val="20"/>
              </w:rPr>
              <w:t xml:space="preserve">Covariate group</w:t>
            </w:r>
          </w:p>
        </w:tc>
        <w:tc>
          <w:tcPr/>
          <w:p>
            <w:pPr>
              <w:spacing w:after="0" w:line="240" w:lineRule="auto"/>
              <w:pStyle w:val="Compact"/>
            </w:pPr>
            <w:r>
              <w:rPr>
                <w:sz w:val="20"/>
                <w:szCs w:val="20"/>
              </w:rPr>
              <w:t xml:space="preserve">Encoding</w:t>
            </w:r>
          </w:p>
        </w:tc>
      </w:tr>
      <w:tr>
        <w:tc>
          <w:tcPr/>
          <w:p>
            <w:pPr>
              <w:spacing w:after="0" w:line="240" w:lineRule="auto"/>
              <w:pStyle w:val="Compact"/>
            </w:pPr>
            <w:r>
              <w:rPr>
                <w:sz w:val="20"/>
                <w:szCs w:val="20"/>
              </w:rPr>
              <w:t xml:space="preserve">Demographics</w:t>
            </w:r>
          </w:p>
        </w:tc>
        <w:tc>
          <w:tcPr/>
          <w:p>
            <w:pPr>
              <w:spacing w:after="0" w:line="240" w:lineRule="auto"/>
              <w:pStyle w:val="Compact"/>
            </w:pPr>
            <w:r>
              <w:rPr>
                <w:sz w:val="20"/>
                <w:szCs w:val="20"/>
              </w:rPr>
              <w:t xml:space="preserve">One embedding per categorical field, concatenated and projected; 14 census fields plus the occupation, telework and work-schedule set</w:t>
            </w:r>
          </w:p>
        </w:tc>
      </w:tr>
      <w:tr>
        <w:tc>
          <w:tcPr/>
          <w:p>
            <w:pPr>
              <w:spacing w:after="0" w:line="240" w:lineRule="auto"/>
              <w:pStyle w:val="Compact"/>
            </w:pPr>
            <w:r>
              <w:rPr>
                <w:sz w:val="20"/>
                <w:szCs w:val="20"/>
              </w:rPr>
              <w:t xml:space="preserve">Day-type stratum</w:t>
            </w:r>
          </w:p>
        </w:tc>
        <w:tc>
          <w:tcPr/>
          <w:p>
            <w:pPr>
              <w:spacing w:after="0" w:line="240" w:lineRule="auto"/>
              <w:pStyle w:val="Compact"/>
            </w:pPr>
            <w:r>
              <w:rPr>
                <w:sz w:val="20"/>
                <w:szCs w:val="20"/>
              </w:rPr>
              <w:t xml:space="preserve">Embedding over three strata; drives diurnal shape</w:t>
            </w:r>
          </w:p>
        </w:tc>
      </w:tr>
      <w:tr>
        <w:tc>
          <w:tcPr/>
          <w:p>
            <w:pPr>
              <w:spacing w:after="0" w:line="240" w:lineRule="auto"/>
              <w:pStyle w:val="Compact"/>
            </w:pPr>
            <w:r>
              <w:rPr>
                <w:sz w:val="20"/>
                <w:szCs w:val="20"/>
              </w:rPr>
              <w:t xml:space="preserve">Cycle year</w:t>
            </w:r>
          </w:p>
        </w:tc>
        <w:tc>
          <w:tcPr/>
          <w:p>
            <w:pPr>
              <w:spacing w:after="0" w:line="240" w:lineRule="auto"/>
              <w:pStyle w:val="Compact"/>
            </w:pPr>
            <w:r>
              <w:rPr>
                <w:sz w:val="20"/>
                <w:szCs w:val="20"/>
              </w:rPr>
              <w:t xml:space="preserve">Continuous projection, never categorical, so the model extrapolates to an unseen 2030</w:t>
            </w:r>
          </w:p>
        </w:tc>
      </w:tr>
      <w:tr>
        <w:tc>
          <w:tcPr/>
          <w:p>
            <w:pPr>
              <w:spacing w:after="0" w:line="240" w:lineRule="auto"/>
              <w:pStyle w:val="Compact"/>
            </w:pPr>
            <w:r>
              <w:rPr>
                <w:sz w:val="20"/>
                <w:szCs w:val="20"/>
              </w:rPr>
              <w:t xml:space="preserve">Collection mode</w:t>
            </w:r>
          </w:p>
        </w:tc>
        <w:tc>
          <w:tcPr/>
          <w:p>
            <w:pPr>
              <w:spacing w:after="0" w:line="240" w:lineRule="auto"/>
              <w:pStyle w:val="Compact"/>
            </w:pPr>
            <w:r>
              <w:rPr>
                <w:sz w:val="20"/>
                <w:szCs w:val="20"/>
              </w:rPr>
              <w:t xml:space="preserve">Low-capacity embedding, deliberately too small to leak physical signal</w:t>
            </w:r>
          </w:p>
        </w:tc>
      </w:tr>
      <w:tr>
        <w:tc>
          <w:tcPr/>
          <w:p>
            <w:pPr>
              <w:spacing w:after="0" w:line="240" w:lineRule="auto"/>
              <w:pStyle w:val="Compact"/>
            </w:pPr>
            <w:r>
              <w:rPr>
                <w:sz w:val="20"/>
                <w:szCs w:val="20"/>
              </w:rPr>
              <w:t xml:space="preserve">Retail</w:t>
            </w:r>
          </w:p>
        </w:tc>
        <w:tc>
          <w:tcPr/>
          <w:p>
            <w:pPr>
              <w:spacing w:after="0" w:line="240" w:lineRule="auto"/>
              <w:pStyle w:val="Compact"/>
            </w:pPr>
            <w:r>
              <w:rPr>
                <w:sz w:val="20"/>
                <w:szCs w:val="20"/>
              </w:rPr>
              <w:t xml:space="preserve">No retail-specific conditioning is added: retail presence is population-behavioural, not occupation-gated</w:t>
            </w:r>
          </w:p>
        </w:tc>
      </w:tr>
    </w:tbl>
    <w:p>
      <w:pPr>
        <w:pStyle w:val="BodyText"/>
      </w:pPr>
      <w:r>
        <w:t xml:space="preserve">The width grew from 119 to 120 between the two versions because one demographic field gained a</w:t>
      </w:r>
      <w:r>
        <w:t xml:space="preserve"> </w:t>
      </w:r>
      <w:r>
        <w:t xml:space="preserve">missing-value category, a data-preparation correction unrelated to the retail addition.</w:t>
      </w:r>
    </w:p>
    <w:bookmarkEnd w:id="48"/>
    <w:bookmarkStart w:id="49" w:name="c-training-regimen"/>
    <w:p>
      <w:pPr>
        <w:pStyle w:val="Heading3"/>
      </w:pPr>
      <w:r>
        <w:t xml:space="preserve">(c) Training regimen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spacing w:after="0" w:line="240" w:lineRule="auto"/>
              <w:pStyle w:val="Compact"/>
            </w:pPr>
            <w:r>
              <w:rPr>
                <w:sz w:val="20"/>
                <w:szCs w:val="20"/>
              </w:rPr>
              <w:t xml:space="preserve">Item</w:t>
            </w:r>
          </w:p>
        </w:tc>
        <w:tc>
          <w:tcPr/>
          <w:p>
            <w:pPr>
              <w:spacing w:after="0" w:line="240" w:lineRule="auto"/>
              <w:pStyle w:val="Compact"/>
            </w:pPr>
            <w:r>
              <w:rPr>
                <w:sz w:val="20"/>
                <w:szCs w:val="20"/>
              </w:rPr>
              <w:t xml:space="preserve">Value</w:t>
            </w:r>
          </w:p>
        </w:tc>
      </w:tr>
      <w:tr>
        <w:tc>
          <w:tcPr/>
          <w:p>
            <w:pPr>
              <w:spacing w:after="0" w:line="240" w:lineRule="auto"/>
              <w:pStyle w:val="Compact"/>
            </w:pPr>
            <w:r>
              <w:rPr>
                <w:sz w:val="20"/>
                <w:szCs w:val="20"/>
              </w:rPr>
              <w:t xml:space="preserve">Loss weights, residential : office : retail</w:t>
            </w:r>
          </w:p>
        </w:tc>
        <w:tc>
          <w:tcPr/>
          <w:p>
            <w:pPr>
              <w:spacing w:after="0" w:line="240" w:lineRule="auto"/>
              <w:pStyle w:val="Compact"/>
            </w:pPr>
            <w:r>
              <w:rPr>
                <w:sz w:val="20"/>
                <w:szCs w:val="20"/>
              </w:rPr>
              <w:t xml:space="preserve">1.0 : 0.5 : 0.3</w:t>
            </w:r>
          </w:p>
        </w:tc>
      </w:tr>
      <w:tr>
        <w:tc>
          <w:tcPr/>
          <w:p>
            <w:pPr>
              <w:spacing w:after="0" w:line="240" w:lineRule="auto"/>
              <w:pStyle w:val="Compact"/>
            </w:pPr>
            <w:r>
              <w:rPr>
                <w:sz w:val="20"/>
                <w:szCs w:val="20"/>
              </w:rPr>
              <w:t xml:space="preserve">Scalarization</w:t>
            </w:r>
          </w:p>
        </w:tc>
        <w:tc>
          <w:tcPr/>
          <w:p>
            <w:pPr>
              <w:spacing w:after="0" w:line="240" w:lineRule="auto"/>
              <w:pStyle w:val="Compact"/>
            </w:pPr>
            <w:r>
              <w:rPr>
                <w:sz w:val="20"/>
                <w:szCs w:val="20"/>
              </w:rPr>
              <w:t xml:space="preserve">Fixed-weight; dynamic weighters rejected as unstable on a task with about 2 % positives</w:t>
            </w:r>
          </w:p>
        </w:tc>
      </w:tr>
      <w:tr>
        <w:tc>
          <w:tcPr/>
          <w:p>
            <w:pPr>
              <w:spacing w:after="0" w:line="240" w:lineRule="auto"/>
              <w:pStyle w:val="Compact"/>
            </w:pPr>
            <w:r>
              <w:rPr>
                <w:sz w:val="20"/>
                <w:szCs w:val="20"/>
              </w:rPr>
              <w:t xml:space="preserve">Gradient surgery</w:t>
            </w:r>
          </w:p>
        </w:tc>
        <w:tc>
          <w:tcPr/>
          <w:p>
            <w:pPr>
              <w:spacing w:after="0" w:line="240" w:lineRule="auto"/>
              <w:pStyle w:val="Compact"/>
            </w:pPr>
            <w:r>
              <w:rPr>
                <w:sz w:val="20"/>
                <w:szCs w:val="20"/>
              </w:rPr>
              <w:t xml:space="preserve">PCGrad, pairwise across the three tasks, joint phase only</w:t>
            </w:r>
          </w:p>
        </w:tc>
      </w:tr>
      <w:tr>
        <w:tc>
          <w:tcPr/>
          <w:p>
            <w:pPr>
              <w:spacing w:after="0" w:line="240" w:lineRule="auto"/>
              <w:pStyle w:val="Compact"/>
            </w:pPr>
            <w:r>
              <w:rPr>
                <w:sz w:val="20"/>
                <w:szCs w:val="20"/>
              </w:rPr>
              <w:t xml:space="preserve">Class imbalance, retail</w:t>
            </w:r>
          </w:p>
        </w:tc>
        <w:tc>
          <w:tcPr/>
          <w:p>
            <w:pPr>
              <w:spacing w:after="0" w:line="240" w:lineRule="auto"/>
              <w:pStyle w:val="Compact"/>
            </w:pPr>
            <w:r>
              <w:rPr>
                <w:sz w:val="20"/>
                <w:szCs w:val="20"/>
              </w:rPr>
              <w:t xml:space="preserve">Positive-class weight 49</w:t>
            </w:r>
          </w:p>
        </w:tc>
      </w:tr>
      <w:tr>
        <w:tc>
          <w:tcPr/>
          <w:p>
            <w:pPr>
              <w:spacing w:after="0" w:line="240" w:lineRule="auto"/>
              <w:pStyle w:val="Compact"/>
            </w:pPr>
            <w:r>
              <w:rPr>
                <w:sz w:val="20"/>
                <w:szCs w:val="20"/>
              </w:rPr>
              <w:t xml:space="preserve">Inference logit shift</w:t>
            </w:r>
          </w:p>
        </w:tc>
        <w:tc>
          <w:tcPr/>
          <w:p>
            <w:pPr>
              <w:spacing w:after="0" w:line="240" w:lineRule="auto"/>
              <w:pStyle w:val="Compact"/>
            </w:pPr>
            <m:oMath>
              <m:r>
                <m:rPr>
                  <m:sty m:val="p"/>
                </m:rPr>
                <m:t>−</m:t>
              </m:r>
              <m:r>
                <m:rPr>
                  <m:sty m:val="p"/>
                </m:rPr>
                <m:t>ln</m:t>
              </m:r>
              <m:r>
                <m:t>49</m:t>
              </m:r>
              <m:r>
                <m:rPr>
                  <m:sty m:val="p"/>
                </m:rPr>
                <m:t>≈</m:t>
              </m:r>
              <m:r>
                <m:rPr>
                  <m:sty m:val="p"/>
                </m:rPr>
                <m:t>−</m:t>
              </m:r>
              <m:r>
                <m:t>3.89</m:t>
              </m:r>
            </m:oMath>
            <w:r>
              <w:rPr>
                <w:sz w:val="20"/>
                <w:szCs w:val="20"/>
              </w:rPr>
              <w:t xml:space="preserve">, applied at decode only, never during training</w:t>
            </w:r>
          </w:p>
        </w:tc>
      </w:tr>
      <w:tr>
        <w:tc>
          <w:tcPr/>
          <w:p>
            <w:pPr>
              <w:spacing w:after="0" w:line="240" w:lineRule="auto"/>
              <w:pStyle w:val="Compact"/>
            </w:pPr>
            <w:r>
              <w:rPr>
                <w:sz w:val="20"/>
                <w:szCs w:val="20"/>
              </w:rPr>
              <w:t xml:space="preserve">Warmup phase</w:t>
            </w:r>
          </w:p>
        </w:tc>
        <w:tc>
          <w:tcPr/>
          <w:p>
            <w:pPr>
              <w:spacing w:after="0" w:line="240" w:lineRule="auto"/>
              <w:pStyle w:val="Compact"/>
            </w:pPr>
            <w:r>
              <w:rPr>
                <w:sz w:val="20"/>
                <w:szCs w:val="20"/>
              </w:rPr>
              <w:t xml:space="preserve">5 epochs, Head 3 only trainable, learning rate 1e-3</w:t>
            </w:r>
          </w:p>
        </w:tc>
      </w:tr>
      <w:tr>
        <w:tc>
          <w:tcPr/>
          <w:p>
            <w:pPr>
              <w:spacing w:after="0" w:line="240" w:lineRule="auto"/>
              <w:pStyle w:val="Compact"/>
            </w:pPr>
            <w:r>
              <w:rPr>
                <w:sz w:val="20"/>
                <w:szCs w:val="20"/>
              </w:rPr>
              <w:t xml:space="preserve">Joint phase</w:t>
            </w:r>
          </w:p>
        </w:tc>
        <w:tc>
          <w:tcPr/>
          <w:p>
            <w:pPr>
              <w:spacing w:after="0" w:line="240" w:lineRule="auto"/>
              <w:pStyle w:val="Compact"/>
            </w:pPr>
            <w:r>
              <w:rPr>
                <w:sz w:val="20"/>
                <w:szCs w:val="20"/>
              </w:rPr>
              <w:t xml:space="preserve">15 epochs, all parameters trainable, learning rate 1e-4, PCGrad on, early stopping on the check set</w:t>
            </w:r>
          </w:p>
        </w:tc>
      </w:tr>
      <w:tr>
        <w:tc>
          <w:tcPr/>
          <w:p>
            <w:pPr>
              <w:spacing w:after="0" w:line="240" w:lineRule="auto"/>
              <w:pStyle w:val="Compact"/>
            </w:pPr>
            <w:r>
              <w:rPr>
                <w:sz w:val="20"/>
                <w:szCs w:val="20"/>
              </w:rPr>
              <w:t xml:space="preserve">Dropout</w:t>
            </w:r>
          </w:p>
        </w:tc>
        <w:tc>
          <w:tcPr/>
          <w:p>
            <w:pPr>
              <w:spacing w:after="0" w:line="240" w:lineRule="auto"/>
              <w:pStyle w:val="Compact"/>
            </w:pPr>
            <w:r>
              <w:rPr>
                <w:sz w:val="20"/>
                <w:szCs w:val="20"/>
              </w:rPr>
              <w:t xml:space="preserve">0.1, attention and residual only, never on output projections</w:t>
            </w:r>
          </w:p>
        </w:tc>
      </w:tr>
      <w:tr>
        <w:tc>
          <w:tcPr/>
          <w:p>
            <w:pPr>
              <w:spacing w:after="0" w:line="240" w:lineRule="auto"/>
              <w:pStyle w:val="Compact"/>
            </w:pPr>
            <w:r>
              <w:rPr>
                <w:sz w:val="20"/>
                <w:szCs w:val="20"/>
              </w:rPr>
              <w:t xml:space="preserve">Weight decay</w:t>
            </w:r>
          </w:p>
        </w:tc>
        <w:tc>
          <w:tcPr/>
          <w:p>
            <w:pPr>
              <w:spacing w:after="0" w:line="240" w:lineRule="auto"/>
              <w:pStyle w:val="Compact"/>
            </w:pPr>
            <w:r>
              <w:rPr>
                <w:sz w:val="20"/>
                <w:szCs w:val="20"/>
              </w:rPr>
              <w:t xml:space="preserve">1e-4</w:t>
            </w:r>
          </w:p>
        </w:tc>
      </w:tr>
      <w:tr>
        <w:tc>
          <w:tcPr/>
          <w:p>
            <w:pPr>
              <w:spacing w:after="0" w:line="240" w:lineRule="auto"/>
              <w:pStyle w:val="Compact"/>
            </w:pPr>
            <w:r>
              <w:rPr>
                <w:sz w:val="20"/>
                <w:szCs w:val="20"/>
              </w:rPr>
              <w:t xml:space="preserve">Label smoothing</w:t>
            </w:r>
          </w:p>
        </w:tc>
        <w:tc>
          <w:tcPr/>
          <w:p>
            <w:pPr>
              <w:spacing w:after="0" w:line="240" w:lineRule="auto"/>
              <w:pStyle w:val="Compact"/>
            </w:pPr>
            <w:r>
              <w:rPr>
                <w:sz w:val="20"/>
                <w:szCs w:val="20"/>
              </w:rPr>
              <w:t xml:space="preserve">Disabled; it distorts calibration on this task</w:t>
            </w:r>
          </w:p>
        </w:tc>
      </w:tr>
      <w:tr>
        <w:tc>
          <w:tcPr/>
          <w:p>
            <w:pPr>
              <w:spacing w:after="0" w:line="240" w:lineRule="auto"/>
              <w:pStyle w:val="Compact"/>
            </w:pPr>
            <w:r>
              <w:rPr>
                <w:sz w:val="20"/>
                <w:szCs w:val="20"/>
              </w:rPr>
              <w:t xml:space="preserve">Diary augmentation</w:t>
            </w:r>
          </w:p>
        </w:tc>
        <w:tc>
          <w:tcPr/>
          <w:p>
            <w:pPr>
              <w:spacing w:after="0" w:line="240" w:lineRule="auto"/>
              <w:pStyle w:val="Compact"/>
            </w:pPr>
            <w:r>
              <w:rPr>
                <w:sz w:val="20"/>
                <w:szCs w:val="20"/>
              </w:rPr>
              <w:t xml:space="preserve">None</w:t>
            </w:r>
          </w:p>
        </w:tc>
      </w:tr>
      <w:tr>
        <w:tc>
          <w:tcPr/>
          <w:p>
            <w:pPr>
              <w:spacing w:after="0" w:line="240" w:lineRule="auto"/>
              <w:pStyle w:val="Compact"/>
            </w:pPr>
            <w:r>
              <w:rPr>
                <w:sz w:val="20"/>
                <w:szCs w:val="20"/>
              </w:rPr>
              <w:t xml:space="preserve">Batch composition</w:t>
            </w:r>
          </w:p>
        </w:tc>
        <w:tc>
          <w:tcPr/>
          <w:p>
            <w:pPr>
              <w:spacing w:after="0" w:line="240" w:lineRule="auto"/>
              <w:pStyle w:val="Compact"/>
            </w:pPr>
            <w:r>
              <w:rPr>
                <w:sz w:val="20"/>
                <w:szCs w:val="20"/>
              </w:rPr>
              <w:t xml:space="preserve">Stratified 50 % weekday, 25 % Saturday, 25 % Sunday, inverse-cycle-frequency weighted</w:t>
            </w:r>
          </w:p>
        </w:tc>
      </w:tr>
      <w:tr>
        <w:tc>
          <w:tcPr/>
          <w:p>
            <w:pPr>
              <w:spacing w:after="0" w:line="240" w:lineRule="auto"/>
              <w:pStyle w:val="Compact"/>
            </w:pPr>
            <w:r>
              <w:rPr>
                <w:sz w:val="20"/>
                <w:szCs w:val="20"/>
              </w:rPr>
              <w:t xml:space="preserve">Survey weights</w:t>
            </w:r>
          </w:p>
        </w:tc>
        <w:tc>
          <w:tcPr/>
          <w:p>
            <w:pPr>
              <w:spacing w:after="0" w:line="240" w:lineRule="auto"/>
              <w:pStyle w:val="Compact"/>
            </w:pPr>
            <w:r>
              <w:rPr>
                <w:sz w:val="20"/>
                <w:szCs w:val="20"/>
              </w:rPr>
              <w:t xml:space="preserve">Applied inside the loss, clipped at the 99th percentile</w:t>
            </w:r>
          </w:p>
        </w:tc>
      </w:tr>
      <w:tr>
        <w:tc>
          <w:tcPr/>
          <w:p>
            <w:pPr>
              <w:spacing w:after="0" w:line="240" w:lineRule="auto"/>
              <w:pStyle w:val="Compact"/>
            </w:pPr>
            <w:r>
              <w:rPr>
                <w:sz w:val="20"/>
                <w:szCs w:val="20"/>
              </w:rPr>
              <w:t xml:space="preserve">Selection rule</w:t>
            </w:r>
          </w:p>
        </w:tc>
        <w:tc>
          <w:tcPr/>
          <w:p>
            <w:pPr>
              <w:spacing w:after="0" w:line="240" w:lineRule="auto"/>
              <w:pStyle w:val="Compact"/>
            </w:pPr>
            <w:r>
              <w:rPr>
                <w:sz w:val="20"/>
                <w:szCs w:val="20"/>
              </w:rPr>
              <w:t xml:space="preserve">Discard checkpoints that do not pass the hard checks, then maximize retail F1 among the rest; no composite score. The delivered checkpoint deviates from this rule, as described in Section S.1</w:t>
            </w:r>
          </w:p>
        </w:tc>
      </w:tr>
      <w:tr>
        <w:tc>
          <w:tcPr/>
          <w:p>
            <w:pPr>
              <w:spacing w:after="0" w:line="240" w:lineRule="auto"/>
              <w:pStyle w:val="Compact"/>
            </w:pPr>
            <w:r>
              <w:rPr>
                <w:sz w:val="20"/>
                <w:szCs w:val="20"/>
              </w:rPr>
              <w:t xml:space="preserve">Automated checks on the generated diaries</w:t>
            </w:r>
          </w:p>
        </w:tc>
        <w:tc>
          <w:tcPr/>
          <w:p>
            <w:pPr>
              <w:spacing w:after="0" w:line="240" w:lineRule="auto"/>
              <w:pStyle w:val="Compact"/>
            </w:pPr>
            <w:r>
              <w:rPr>
                <w:sz w:val="20"/>
                <w:szCs w:val="20"/>
              </w:rPr>
              <w:t xml:space="preserve">166 checks: 147 pass, 18 give a warning and 1 does not pass. The one that does not pass is a day-type ordering check that also did not pass in the two-channel version; no check that passed there stops passing here</w:t>
            </w:r>
          </w:p>
        </w:tc>
      </w:tr>
    </w:tbl>
    <w:p>
      <w:pPr>
        <w:pStyle w:val="BodyText"/>
      </w:pPr>
      <w:r>
        <w:t xml:space="preserve">The design value of the positive-class weight is 49; the training split’s measured positive rate implies</w:t>
      </w:r>
      <w:r>
        <w:t xml:space="preserve"> </w:t>
      </w:r>
      <w:r>
        <w:t xml:space="preserve">50.1056. The delivered model is trained with 49.</w:t>
      </w:r>
    </w:p>
    <w:bookmarkEnd w:id="49"/>
    <w:bookmarkStart w:id="50" w:name="d-decoding"/>
    <w:p>
      <w:pPr>
        <w:pStyle w:val="Heading3"/>
      </w:pPr>
      <w:r>
        <w:t xml:space="preserve">(d) Decoding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spacing w:after="0" w:line="240" w:lineRule="auto"/>
              <w:pStyle w:val="Compact"/>
            </w:pPr>
            <w:r>
              <w:rPr>
                <w:sz w:val="20"/>
                <w:szCs w:val="20"/>
              </w:rPr>
              <w:t xml:space="preserve">Item</w:t>
            </w:r>
          </w:p>
        </w:tc>
        <w:tc>
          <w:tcPr/>
          <w:p>
            <w:pPr>
              <w:spacing w:after="0" w:line="240" w:lineRule="auto"/>
              <w:pStyle w:val="Compact"/>
            </w:pPr>
            <w:r>
              <w:rPr>
                <w:sz w:val="20"/>
                <w:szCs w:val="20"/>
              </w:rPr>
              <w:t xml:space="preserve">Value</w:t>
            </w:r>
          </w:p>
        </w:tc>
      </w:tr>
      <w:tr>
        <w:tc>
          <w:tcPr/>
          <w:p>
            <w:pPr>
              <w:spacing w:after="0" w:line="240" w:lineRule="auto"/>
              <w:pStyle w:val="Compact"/>
            </w:pPr>
            <w:r>
              <w:rPr>
                <w:sz w:val="20"/>
                <w:szCs w:val="20"/>
              </w:rPr>
              <w:t xml:space="preserve">Sampling</w:t>
            </w:r>
          </w:p>
        </w:tc>
        <w:tc>
          <w:tcPr/>
          <w:p>
            <w:pPr>
              <w:spacing w:after="0" w:line="240" w:lineRule="auto"/>
              <w:pStyle w:val="Compact"/>
            </w:pPr>
            <w:r>
              <w:rPr>
                <w:sz w:val="20"/>
                <w:szCs w:val="20"/>
              </w:rPr>
              <w:t xml:space="preserve">Temperature 0.7 with nucleus sampling at 0.9; the two-channel version used 0.8 with no nucleus</w:t>
            </w:r>
          </w:p>
        </w:tc>
      </w:tr>
      <w:tr>
        <w:tc>
          <w:tcPr/>
          <w:p>
            <w:pPr>
              <w:spacing w:after="0" w:line="240" w:lineRule="auto"/>
              <w:pStyle w:val="Compact"/>
            </w:pPr>
            <w:r>
              <w:rPr>
                <w:sz w:val="20"/>
                <w:szCs w:val="20"/>
              </w:rPr>
              <w:t xml:space="preserve">Minimum dwell</w:t>
            </w:r>
          </w:p>
        </w:tc>
        <w:tc>
          <w:tcPr/>
          <w:p>
            <w:pPr>
              <w:spacing w:after="0" w:line="240" w:lineRule="auto"/>
              <w:pStyle w:val="Compact"/>
            </w:pPr>
            <w:r>
              <w:rPr>
                <w:sz w:val="20"/>
                <w:szCs w:val="20"/>
              </w:rPr>
              <w:t xml:space="preserve">At least 2 slots, 60 minutes, for work and retail events, applied after the exclusivity projection</w:t>
            </w:r>
          </w:p>
        </w:tc>
      </w:tr>
      <w:tr>
        <w:tc>
          <w:tcPr/>
          <w:p>
            <w:pPr>
              <w:spacing w:after="0" w:line="240" w:lineRule="auto"/>
              <w:pStyle w:val="Compact"/>
            </w:pPr>
            <w:r>
              <w:rPr>
                <w:sz w:val="20"/>
                <w:szCs w:val="20"/>
              </w:rPr>
              <w:t xml:space="preserve">Decision thresholds</w:t>
            </w:r>
          </w:p>
        </w:tc>
        <w:tc>
          <w:tcPr/>
          <w:p>
            <w:pPr>
              <w:spacing w:after="0" w:line="240" w:lineRule="auto"/>
              <w:pStyle w:val="Compact"/>
            </w:pPr>
            <w:r>
              <w:rPr>
                <w:sz w:val="20"/>
                <w:szCs w:val="20"/>
              </w:rPr>
              <w:t xml:space="preserve">0.50 residential, 0.40 office, 0.15 retail, derived on validation</w:t>
            </w:r>
          </w:p>
        </w:tc>
      </w:tr>
      <w:tr>
        <w:tc>
          <w:tcPr/>
          <w:p>
            <w:pPr>
              <w:spacing w:after="0" w:line="240" w:lineRule="auto"/>
              <w:pStyle w:val="Compact"/>
            </w:pPr>
            <w:r>
              <w:rPr>
                <w:sz w:val="20"/>
                <w:szCs w:val="20"/>
              </w:rPr>
              <w:t xml:space="preserve">Exclusivity</w:t>
            </w:r>
          </w:p>
        </w:tc>
        <w:tc>
          <w:tcPr/>
          <w:p>
            <w:pPr>
              <w:spacing w:after="0" w:line="240" w:lineRule="auto"/>
              <w:pStyle w:val="Compact"/>
            </w:pPr>
            <w:r>
              <w:rPr>
                <w:sz w:val="20"/>
                <w:szCs w:val="20"/>
              </w:rPr>
              <w:t xml:space="preserve">Threshold-normalized argmax: a slot over threshold on more than one channel keeps only the channel with the largest threshold-normalized probability</w:t>
            </w:r>
          </w:p>
        </w:tc>
      </w:tr>
      <w:tr>
        <w:tc>
          <w:tcPr/>
          <w:p>
            <w:pPr>
              <w:spacing w:after="0" w:line="240" w:lineRule="auto"/>
              <w:pStyle w:val="Compact"/>
            </w:pPr>
            <w:r>
              <w:rPr>
                <w:sz w:val="20"/>
                <w:szCs w:val="20"/>
              </w:rPr>
              <w:t xml:space="preserve">Impossible-state rate</w:t>
            </w:r>
          </w:p>
        </w:tc>
        <w:tc>
          <w:tcPr/>
          <w:p>
            <w:pPr>
              <w:spacing w:after="0" w:line="240" w:lineRule="auto"/>
              <w:pStyle w:val="Compact"/>
            </w:pPr>
            <w:r>
              <w:rPr>
                <w:sz w:val="20"/>
                <w:szCs w:val="20"/>
              </w:rPr>
              <w:t xml:space="preserve">At most 0.5 % on raw output; 0 % on the injected schedules by construction</w:t>
            </w:r>
          </w:p>
        </w:tc>
      </w:tr>
      <w:tr>
        <w:tc>
          <w:tcPr/>
          <w:p>
            <w:pPr>
              <w:spacing w:after="0" w:line="240" w:lineRule="auto"/>
              <w:pStyle w:val="Compact"/>
            </w:pPr>
            <w:r>
              <w:rPr>
                <w:sz w:val="20"/>
                <w:szCs w:val="20"/>
              </w:rPr>
              <w:t xml:space="preserve">Rejected alternative</w:t>
            </w:r>
          </w:p>
        </w:tc>
        <w:tc>
          <w:tcPr/>
          <w:p>
            <w:pPr>
              <w:spacing w:after="0" w:line="240" w:lineRule="auto"/>
              <w:pStyle w:val="Compact"/>
            </w:pPr>
            <w:r>
              <w:rPr>
                <w:sz w:val="20"/>
                <w:szCs w:val="20"/>
              </w:rPr>
              <w:t xml:space="preserve">A categorical location head, which crushes the 2 % retail class and couples calibration</w:t>
            </w:r>
          </w:p>
        </w:tc>
      </w:tr>
    </w:tbl>
    <w:bookmarkEnd w:id="50"/>
    <w:bookmarkStart w:id="51" w:name="e-per-cycle-retail-code-mapping"/>
    <w:p>
      <w:pPr>
        <w:pStyle w:val="Heading3"/>
      </w:pPr>
      <w:r>
        <w:t xml:space="preserve">(e) Per-cycle retail code mapping</w:t>
      </w:r>
    </w:p>
    <w:p>
      <w:pPr>
        <w:pStyle w:val="FirstParagraph"/>
      </w:pPr>
      <w:r>
        <w:t xml:space="preserve">Each raw code below maps to the harmonised location code 5 (store) used in Eq. B.1.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GSS cycle</w:t>
            </w:r>
          </w:p>
        </w:tc>
        <w:tc>
          <w:tcPr/>
          <w:p>
            <w:pPr>
              <w:spacing w:after="0" w:line="240" w:lineRule="auto"/>
              <w:pStyle w:val="Compact"/>
            </w:pPr>
            <w:r>
              <w:rPr>
                <w:sz w:val="20"/>
                <w:szCs w:val="20"/>
              </w:rPr>
              <w:t xml:space="preserve">Raw variable</w:t>
            </w:r>
          </w:p>
        </w:tc>
        <w:tc>
          <w:tcPr/>
          <w:p>
            <w:pPr>
              <w:spacing w:after="0" w:line="240" w:lineRule="auto"/>
              <w:pStyle w:val="Compact"/>
            </w:pPr>
            <w:r>
              <w:rPr>
                <w:sz w:val="20"/>
                <w:szCs w:val="20"/>
              </w:rPr>
              <w:t xml:space="preserve">Codes mapped to the unified shopping location</w:t>
            </w:r>
          </w:p>
        </w:tc>
        <w:tc>
          <w:tcPr/>
          <w:p>
            <w:pPr>
              <w:spacing w:after="0" w:line="240" w:lineRule="auto"/>
              <w:pStyle w:val="Compact"/>
            </w:pPr>
            <w:r>
              <w:rPr>
                <w:sz w:val="20"/>
                <w:szCs w:val="20"/>
              </w:rPr>
              <w:t xml:space="preserve">Status</w:t>
            </w:r>
          </w:p>
        </w:tc>
      </w:tr>
      <w:tr>
        <w:tc>
          <w:tcPr/>
          <w:p>
            <w:pPr>
              <w:spacing w:after="0" w:line="240" w:lineRule="auto"/>
              <w:pStyle w:val="Compact"/>
            </w:pPr>
            <w:r>
              <w:rPr>
                <w:sz w:val="20"/>
                <w:szCs w:val="20"/>
              </w:rPr>
              <w:t xml:space="preserve">2005 (C19)</w:t>
            </w:r>
          </w:p>
        </w:tc>
        <w:tc>
          <w:tcPr/>
          <w:p>
            <w:pPr>
              <w:spacing w:after="0" w:line="240" w:lineRule="auto"/>
              <w:pStyle w:val="Compact"/>
            </w:pPr>
            <w:r>
              <w:rPr>
                <w:sz w:val="20"/>
                <w:szCs w:val="20"/>
              </w:rPr>
              <w:t xml:space="preserve">PLACE</w:t>
            </w:r>
          </w:p>
        </w:tc>
        <w:tc>
          <w:tcPr/>
          <w:p>
            <w:pPr>
              <w:spacing w:after="0" w:line="240" w:lineRule="auto"/>
              <w:pStyle w:val="Compact"/>
            </w:pPr>
            <w:r>
              <w:rPr>
                <w:sz w:val="20"/>
                <w:szCs w:val="20"/>
              </w:rPr>
              <w:t xml:space="preserve">06 grocery and 07 other store or mall</w:t>
            </w:r>
          </w:p>
        </w:tc>
        <w:tc>
          <w:tcPr/>
          <w:p>
            <w:pPr>
              <w:spacing w:after="0" w:line="240" w:lineRule="auto"/>
              <w:pStyle w:val="Compact"/>
            </w:pPr>
            <w:r>
              <w:rPr>
                <w:sz w:val="20"/>
                <w:szCs w:val="20"/>
              </w:rPr>
              <w:t xml:space="preserve">confirmed</w:t>
            </w:r>
          </w:p>
        </w:tc>
      </w:tr>
      <w:tr>
        <w:tc>
          <w:tcPr/>
          <w:p>
            <w:pPr>
              <w:spacing w:after="0" w:line="240" w:lineRule="auto"/>
              <w:pStyle w:val="Compact"/>
            </w:pPr>
            <w:r>
              <w:rPr>
                <w:sz w:val="20"/>
                <w:szCs w:val="20"/>
              </w:rPr>
              <w:t xml:space="preserve">2010 (C24)</w:t>
            </w:r>
          </w:p>
        </w:tc>
        <w:tc>
          <w:tcPr/>
          <w:p>
            <w:pPr>
              <w:spacing w:after="0" w:line="240" w:lineRule="auto"/>
              <w:pStyle w:val="Compact"/>
            </w:pPr>
            <w:r>
              <w:rPr>
                <w:sz w:val="20"/>
                <w:szCs w:val="20"/>
              </w:rPr>
              <w:t xml:space="preserve">PLACE</w:t>
            </w:r>
          </w:p>
        </w:tc>
        <w:tc>
          <w:tcPr/>
          <w:p>
            <w:pPr>
              <w:spacing w:after="0" w:line="240" w:lineRule="auto"/>
              <w:pStyle w:val="Compact"/>
            </w:pPr>
            <w:r>
              <w:rPr>
                <w:sz w:val="20"/>
                <w:szCs w:val="20"/>
              </w:rPr>
              <w:t xml:space="preserve">06 and 07</w:t>
            </w:r>
          </w:p>
        </w:tc>
        <w:tc>
          <w:tcPr/>
          <w:p>
            <w:pPr>
              <w:spacing w:after="0" w:line="240" w:lineRule="auto"/>
              <w:pStyle w:val="Compact"/>
            </w:pPr>
            <w:r>
              <w:rPr>
                <w:sz w:val="20"/>
                <w:szCs w:val="20"/>
              </w:rPr>
              <w:t xml:space="preserve">confirmed</w:t>
            </w:r>
          </w:p>
        </w:tc>
      </w:tr>
      <w:tr>
        <w:tc>
          <w:tcPr/>
          <w:p>
            <w:pPr>
              <w:spacing w:after="0" w:line="240" w:lineRule="auto"/>
              <w:pStyle w:val="Compact"/>
            </w:pPr>
            <w:r>
              <w:rPr>
                <w:sz w:val="20"/>
                <w:szCs w:val="20"/>
              </w:rPr>
              <w:t xml:space="preserve">2015 (C29)</w:t>
            </w:r>
          </w:p>
        </w:tc>
        <w:tc>
          <w:tcPr/>
          <w:p>
            <w:pPr>
              <w:spacing w:after="0" w:line="240" w:lineRule="auto"/>
              <w:pStyle w:val="Compact"/>
            </w:pPr>
            <w:r>
              <w:rPr>
                <w:sz w:val="20"/>
                <w:szCs w:val="20"/>
              </w:rPr>
              <w:t xml:space="preserve">LOCATION</w:t>
            </w:r>
          </w:p>
        </w:tc>
        <w:tc>
          <w:tcPr/>
          <w:p>
            <w:pPr>
              <w:spacing w:after="0" w:line="240" w:lineRule="auto"/>
              <w:pStyle w:val="Compact"/>
            </w:pPr>
            <w:r>
              <w:rPr>
                <w:sz w:val="20"/>
                <w:szCs w:val="20"/>
              </w:rPr>
              <w:t xml:space="preserve">306</w:t>
            </w:r>
          </w:p>
        </w:tc>
        <w:tc>
          <w:tcPr/>
          <w:p>
            <w:pPr>
              <w:spacing w:after="0" w:line="240" w:lineRule="auto"/>
              <w:pStyle w:val="Compact"/>
            </w:pPr>
            <w:r>
              <w:rPr>
                <w:sz w:val="20"/>
                <w:szCs w:val="20"/>
              </w:rPr>
              <w:t xml:space="preserve">confirmed</w:t>
            </w:r>
          </w:p>
        </w:tc>
      </w:tr>
      <w:tr>
        <w:tc>
          <w:tcPr/>
          <w:p>
            <w:pPr>
              <w:spacing w:after="0" w:line="240" w:lineRule="auto"/>
              <w:pStyle w:val="Compact"/>
            </w:pPr>
            <w:r>
              <w:rPr>
                <w:sz w:val="20"/>
                <w:szCs w:val="20"/>
              </w:rPr>
              <w:t xml:space="preserve">2022</w:t>
            </w:r>
          </w:p>
        </w:tc>
        <w:tc>
          <w:tcPr/>
          <w:p>
            <w:pPr>
              <w:spacing w:after="0" w:line="240" w:lineRule="auto"/>
              <w:pStyle w:val="Compact"/>
            </w:pPr>
            <w:r>
              <w:rPr>
                <w:sz w:val="20"/>
                <w:szCs w:val="20"/>
              </w:rPr>
              <w:t xml:space="preserve">LOCATION</w:t>
            </w:r>
          </w:p>
        </w:tc>
        <w:tc>
          <w:tcPr/>
          <w:p>
            <w:pPr>
              <w:spacing w:after="0" w:line="240" w:lineRule="auto"/>
              <w:pStyle w:val="Compact"/>
            </w:pPr>
            <w:r>
              <w:rPr>
                <w:sz w:val="20"/>
                <w:szCs w:val="20"/>
              </w:rPr>
              <w:t xml:space="preserve">3306</w:t>
            </w:r>
          </w:p>
        </w:tc>
        <w:tc>
          <w:tcPr/>
          <w:p>
            <w:pPr>
              <w:spacing w:after="0" w:line="240" w:lineRule="auto"/>
              <w:pStyle w:val="Compact"/>
            </w:pPr>
            <w:r>
              <w:rPr>
                <w:sz w:val="20"/>
                <w:szCs w:val="20"/>
              </w:rPr>
              <w:t xml:space="preserve">confirmed</w:t>
            </w:r>
          </w:p>
        </w:tc>
      </w:tr>
    </w:tbl>
    <w:p>
      <w:pPr>
        <w:pStyle w:val="BodyText"/>
      </w:pPr>
      <w:r>
        <w:t xml:space="preserve">In 2005 and 2010 two source codes are combined into one unified value; in 2015 and 2022 the single code</w:t>
      </w:r>
      <w:r>
        <w:t xml:space="preserve"> </w:t>
      </w:r>
      <w:r>
        <w:t xml:space="preserve">is already a merged grocery and general-merchandise bucket at the source. Grocery and general</w:t>
      </w:r>
      <w:r>
        <w:t xml:space="preserve"> </w:t>
      </w:r>
      <w:r>
        <w:t xml:space="preserve">merchandise are therefore not separable in the two later cycles, which is why the retail channel uses a</w:t>
      </w:r>
      <w:r>
        <w:t xml:space="preserve"> </w:t>
      </w:r>
      <w:r>
        <w:t xml:space="preserve">single retail archetype.</w:t>
      </w:r>
    </w:p>
    <w:p>
      <w:pPr>
        <w:pStyle w:val="BodyText"/>
      </w:pPr>
      <w:r>
        <w:rPr>
          <w:b/>
          <w:bCs/>
        </w:rPr>
        <w:t xml:space="preserve">Table S4.</w:t>
      </w:r>
      <w:r>
        <w:t xml:space="preserve"> </w:t>
      </w:r>
      <w:r>
        <w:t xml:space="preserve">Components carried over from the two-channel version.</w:t>
      </w:r>
    </w:p>
    <w:p>
      <w:pPr>
        <w:pStyle w:val="BodyText"/>
      </w:pPr>
      <w:r>
        <w:t xml:space="preserve">A</w:t>
      </w:r>
      <w:r>
        <w:t xml:space="preserve"> </w:t>
      </w:r>
      <w:r>
        <w:t xml:space="preserve">“Yes”</w:t>
      </w:r>
      <w:r>
        <w:t xml:space="preserve"> </w:t>
      </w:r>
      <w:r>
        <w:t xml:space="preserve">is entered only where the files themselves were compared by checksum. Where nothing was compared, the table says so.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spacing w:after="0" w:line="240" w:lineRule="auto"/>
              <w:pStyle w:val="Compact"/>
            </w:pPr>
            <w:r>
              <w:rPr>
                <w:sz w:val="20"/>
                <w:szCs w:val="20"/>
              </w:rPr>
              <w:t xml:space="preserve">Component</w:t>
            </w:r>
          </w:p>
        </w:tc>
        <w:tc>
          <w:tcPr/>
          <w:p>
            <w:pPr>
              <w:spacing w:after="0" w:line="240" w:lineRule="auto"/>
              <w:pStyle w:val="Compact"/>
            </w:pPr>
            <w:r>
              <w:rPr>
                <w:sz w:val="20"/>
                <w:szCs w:val="20"/>
              </w:rPr>
              <w:t xml:space="preserve">Two-channel version</w:t>
            </w:r>
          </w:p>
        </w:tc>
        <w:tc>
          <w:tcPr/>
          <w:p>
            <w:pPr>
              <w:spacing w:after="0" w:line="240" w:lineRule="auto"/>
              <w:pStyle w:val="Compact"/>
            </w:pPr>
            <w:r>
              <w:rPr>
                <w:sz w:val="20"/>
                <w:szCs w:val="20"/>
              </w:rPr>
              <w:t xml:space="preserve">Four-channel change</w:t>
            </w:r>
          </w:p>
        </w:tc>
        <w:tc>
          <w:tcPr/>
          <w:p>
            <w:pPr>
              <w:spacing w:after="0" w:line="240" w:lineRule="auto"/>
              <w:pStyle w:val="Compact"/>
            </w:pPr>
            <w:r>
              <w:rPr>
                <w:sz w:val="20"/>
                <w:szCs w:val="20"/>
              </w:rPr>
              <w:t xml:space="preserve">Identical?</w:t>
            </w:r>
          </w:p>
        </w:tc>
        <w:tc>
          <w:tcPr/>
          <w:p>
            <w:pPr>
              <w:spacing w:after="0" w:line="240" w:lineRule="auto"/>
              <w:pStyle w:val="Compact"/>
            </w:pPr>
            <w:r>
              <w:rPr>
                <w:sz w:val="20"/>
                <w:szCs w:val="20"/>
              </w:rPr>
              <w:t xml:space="preserve">Basis</w:t>
            </w:r>
          </w:p>
        </w:tc>
      </w:tr>
      <w:tr>
        <w:tc>
          <w:tcPr/>
          <w:p>
            <w:pPr>
              <w:spacing w:after="0" w:line="240" w:lineRule="auto"/>
              <w:pStyle w:val="Compact"/>
            </w:pPr>
            <w:r>
              <w:rPr>
                <w:sz w:val="20"/>
                <w:szCs w:val="20"/>
              </w:rPr>
              <w:t xml:space="preserve">Data collection</w:t>
            </w:r>
          </w:p>
        </w:tc>
        <w:tc>
          <w:tcPr/>
          <w:p>
            <w:pPr>
              <w:spacing w:after="0" w:line="240" w:lineRule="auto"/>
              <w:pStyle w:val="Compact"/>
            </w:pPr>
            <w:r>
              <w:rPr>
                <w:sz w:val="20"/>
                <w:szCs w:val="20"/>
              </w:rPr>
              <w:t xml:space="preserve">Survey columns for residential and office</w:t>
            </w:r>
          </w:p>
        </w:tc>
        <w:tc>
          <w:tcPr/>
          <w:p>
            <w:pPr>
              <w:spacing w:after="0" w:line="240" w:lineRule="auto"/>
              <w:pStyle w:val="Compact"/>
            </w:pPr>
            <w:r>
              <w:rPr>
                <w:sz w:val="20"/>
                <w:szCs w:val="20"/>
              </w:rPr>
              <w:t xml:space="preserve">Monthly provincial hotel series added; retail needs no new survey variable</w:t>
            </w:r>
          </w:p>
        </w:tc>
        <w:tc>
          <w:tcPr/>
          <w:p>
            <w:pPr>
              <w:spacing w:after="0" w:line="240" w:lineRule="auto"/>
              <w:pStyle w:val="Compact"/>
            </w:pPr>
            <w:r>
              <w:rPr>
                <w:sz w:val="20"/>
                <w:szCs w:val="20"/>
              </w:rPr>
              <w:t xml:space="preserve">Not compared</w:t>
            </w:r>
          </w:p>
        </w:tc>
        <w:tc>
          <w:tcPr/>
          <w:p>
            <w:pPr>
              <w:spacing w:after="0" w:line="240" w:lineRule="auto"/>
              <w:pStyle w:val="Compact"/>
            </w:pPr>
            <w:r>
              <w:rPr>
                <w:sz w:val="20"/>
                <w:szCs w:val="20"/>
              </w:rPr>
              <w:t xml:space="preserve">No comparison was run</w:t>
            </w:r>
          </w:p>
        </w:tc>
      </w:tr>
      <w:tr>
        <w:tc>
          <w:tcPr/>
          <w:p>
            <w:pPr>
              <w:spacing w:after="0" w:line="240" w:lineRule="auto"/>
              <w:pStyle w:val="Compact"/>
            </w:pPr>
            <w:r>
              <w:rPr>
                <w:sz w:val="20"/>
                <w:szCs w:val="20"/>
              </w:rPr>
              <w:t xml:space="preserve">Harmonisation</w:t>
            </w:r>
          </w:p>
        </w:tc>
        <w:tc>
          <w:tcPr/>
          <w:p>
            <w:pPr>
              <w:spacing w:after="0" w:line="240" w:lineRule="auto"/>
              <w:pStyle w:val="Compact"/>
            </w:pPr>
            <w:r>
              <w:rPr>
                <w:sz w:val="20"/>
                <w:szCs w:val="20"/>
              </w:rPr>
              <w:t xml:space="preserve">Code mapping for residential and office</w:t>
            </w:r>
          </w:p>
        </w:tc>
        <w:tc>
          <w:tcPr/>
          <w:p>
            <w:pPr>
              <w:spacing w:after="0" w:line="240" w:lineRule="auto"/>
              <w:pStyle w:val="Compact"/>
            </w:pPr>
            <w:r>
              <w:rPr>
                <w:sz w:val="20"/>
                <w:szCs w:val="20"/>
              </w:rPr>
              <w:t xml:space="preserve">Hotel series preparation added, plus the retail rule (Eq. B.1)</w:t>
            </w:r>
          </w:p>
        </w:tc>
        <w:tc>
          <w:tcPr/>
          <w:p>
            <w:pPr>
              <w:spacing w:after="0" w:line="240" w:lineRule="auto"/>
              <w:pStyle w:val="Compact"/>
            </w:pPr>
            <w:r>
              <w:rPr>
                <w:sz w:val="20"/>
                <w:szCs w:val="20"/>
              </w:rPr>
              <w:t xml:space="preserve">Not compared</w:t>
            </w:r>
          </w:p>
        </w:tc>
        <w:tc>
          <w:tcPr/>
          <w:p>
            <w:pPr>
              <w:spacing w:after="0" w:line="240" w:lineRule="auto"/>
              <w:pStyle w:val="Compact"/>
            </w:pPr>
            <w:r>
              <w:rPr>
                <w:sz w:val="20"/>
                <w:szCs w:val="20"/>
              </w:rPr>
              <w:t xml:space="preserve">No comparison was run</w:t>
            </w:r>
          </w:p>
        </w:tc>
      </w:tr>
      <w:tr>
        <w:tc>
          <w:tcPr/>
          <w:p>
            <w:pPr>
              <w:spacing w:after="0" w:line="240" w:lineRule="auto"/>
              <w:pStyle w:val="Compact"/>
            </w:pPr>
            <w:r>
              <w:rPr>
                <w:sz w:val="20"/>
                <w:szCs w:val="20"/>
              </w:rPr>
              <w:t xml:space="preserve">Half-hour slot tables</w:t>
            </w:r>
          </w:p>
        </w:tc>
        <w:tc>
          <w:tcPr/>
          <w:p>
            <w:pPr>
              <w:spacing w:after="0" w:line="240" w:lineRule="auto"/>
              <w:pStyle w:val="Compact"/>
            </w:pPr>
            <w:r>
              <w:rPr>
                <w:sz w:val="20"/>
                <w:szCs w:val="20"/>
              </w:rPr>
              <w:t xml:space="preserve">Residential and office slot tables</w:t>
            </w:r>
          </w:p>
        </w:tc>
        <w:tc>
          <w:tcPr/>
          <w:p>
            <w:pPr>
              <w:spacing w:after="0" w:line="240" w:lineRule="auto"/>
              <w:pStyle w:val="Compact"/>
            </w:pPr>
            <w:r>
              <w:rPr>
                <w:sz w:val="20"/>
                <w:szCs w:val="20"/>
              </w:rPr>
              <w:t xml:space="preserve">One added retail entry, written to a separate file</w:t>
            </w:r>
          </w:p>
        </w:tc>
        <w:tc>
          <w:tcPr/>
          <w:p>
            <w:pPr>
              <w:spacing w:after="0" w:line="240" w:lineRule="auto"/>
              <w:pStyle w:val="Compact"/>
            </w:pPr>
            <w:r>
              <w:rPr>
                <w:sz w:val="20"/>
                <w:szCs w:val="20"/>
              </w:rPr>
              <w:t xml:space="preserve">Not compared</w:t>
            </w:r>
          </w:p>
        </w:tc>
        <w:tc>
          <w:tcPr/>
          <w:p>
            <w:pPr>
              <w:spacing w:after="0" w:line="240" w:lineRule="auto"/>
              <w:pStyle w:val="Compact"/>
            </w:pPr>
            <w:r>
              <w:rPr>
                <w:sz w:val="20"/>
                <w:szCs w:val="20"/>
              </w:rPr>
              <w:t xml:space="preserve">Design intent only; not tested against the output</w:t>
            </w:r>
          </w:p>
        </w:tc>
      </w:tr>
      <w:tr>
        <w:tc>
          <w:tcPr/>
          <w:p>
            <w:pPr>
              <w:spacing w:after="0" w:line="240" w:lineRule="auto"/>
              <w:pStyle w:val="Compact"/>
            </w:pPr>
            <w:r>
              <w:rPr>
                <w:sz w:val="20"/>
                <w:szCs w:val="20"/>
              </w:rPr>
              <w:t xml:space="preserve">Occupancy model</w:t>
            </w:r>
          </w:p>
        </w:tc>
        <w:tc>
          <w:tcPr/>
          <w:p>
            <w:pPr>
              <w:spacing w:after="0" w:line="240" w:lineRule="auto"/>
              <w:pStyle w:val="Compact"/>
            </w:pPr>
            <w:r>
              <w:rPr>
                <w:sz w:val="20"/>
                <w:szCs w:val="20"/>
              </w:rPr>
              <w:t xml:space="preserve">Two decoder heads</w:t>
            </w:r>
          </w:p>
        </w:tc>
        <w:tc>
          <w:tcPr/>
          <w:p>
            <w:pPr>
              <w:spacing w:after="0" w:line="240" w:lineRule="auto"/>
              <w:pStyle w:val="Compact"/>
            </w:pPr>
            <w:r>
              <w:rPr>
                <w:sz w:val="20"/>
                <w:szCs w:val="20"/>
              </w:rPr>
              <w:t xml:space="preserve">Third head for retail; shared encoder kept with targeted upgrades</w:t>
            </w:r>
          </w:p>
        </w:tc>
        <w:tc>
          <w:tcPr/>
          <w:p>
            <w:pPr>
              <w:spacing w:after="0" w:line="240" w:lineRule="auto"/>
              <w:pStyle w:val="Compact"/>
            </w:pPr>
            <w:r>
              <w:rPr>
                <w:sz w:val="20"/>
                <w:szCs w:val="20"/>
              </w:rPr>
              <w:t xml:space="preserve">No</w:t>
            </w:r>
          </w:p>
        </w:tc>
        <w:tc>
          <w:tcPr/>
          <w:p>
            <w:pPr>
              <w:spacing w:after="0" w:line="240" w:lineRule="auto"/>
              <w:pStyle w:val="Compact"/>
            </w:pPr>
            <w:r>
              <w:rPr>
                <w:sz w:val="20"/>
                <w:szCs w:val="20"/>
              </w:rPr>
              <w:t xml:space="preserve">The drift tolerance is 0.002 bits, a bounded change rather than identity; the measured drift is not reported</w:t>
            </w:r>
          </w:p>
        </w:tc>
      </w:tr>
      <w:tr>
        <w:tc>
          <w:tcPr/>
          <w:p>
            <w:pPr>
              <w:spacing w:after="0" w:line="240" w:lineRule="auto"/>
              <w:pStyle w:val="Compact"/>
            </w:pPr>
            <w:r>
              <w:rPr>
                <w:sz w:val="20"/>
                <w:szCs w:val="20"/>
              </w:rPr>
              <w:t xml:space="preserve">Linkage</w:t>
            </w:r>
          </w:p>
        </w:tc>
        <w:tc>
          <w:tcPr/>
          <w:p>
            <w:pPr>
              <w:spacing w:after="0" w:line="240" w:lineRule="auto"/>
              <w:pStyle w:val="Compact"/>
            </w:pPr>
            <w:r>
              <w:rPr>
                <w:sz w:val="20"/>
                <w:szCs w:val="20"/>
              </w:rPr>
              <w:t xml:space="preserve">Household and worker linkage</w:t>
            </w:r>
          </w:p>
        </w:tc>
        <w:tc>
          <w:tcPr/>
          <w:p>
            <w:pPr>
              <w:spacing w:after="0" w:line="240" w:lineRule="auto"/>
              <w:pStyle w:val="Compact"/>
            </w:pPr>
            <w:r>
              <w:rPr>
                <w:sz w:val="20"/>
                <w:szCs w:val="20"/>
              </w:rPr>
              <w:t xml:space="preserve">Retail as one population-level fraction; hotel by provincial multiplier</w:t>
            </w:r>
          </w:p>
        </w:tc>
        <w:tc>
          <w:tcPr/>
          <w:p>
            <w:pPr>
              <w:spacing w:after="0" w:line="240" w:lineRule="auto"/>
              <w:pStyle w:val="Compact"/>
            </w:pPr>
            <w:r>
              <w:rPr>
                <w:sz w:val="20"/>
                <w:szCs w:val="20"/>
              </w:rPr>
              <w:t xml:space="preserve">Not compared</w:t>
            </w:r>
          </w:p>
        </w:tc>
        <w:tc>
          <w:tcPr/>
          <w:p>
            <w:pPr>
              <w:spacing w:after="0" w:line="240" w:lineRule="auto"/>
              <w:pStyle w:val="Compact"/>
            </w:pPr>
            <w:r>
              <w:rPr>
                <w:sz w:val="20"/>
                <w:szCs w:val="20"/>
              </w:rPr>
              <w:t xml:space="preserve">Documented as unchanged; no comparison was run</w:t>
            </w:r>
          </w:p>
        </w:tc>
      </w:tr>
      <w:tr>
        <w:tc>
          <w:tcPr/>
          <w:p>
            <w:pPr>
              <w:spacing w:after="0" w:line="240" w:lineRule="auto"/>
              <w:pStyle w:val="Compact"/>
            </w:pPr>
            <w:r>
              <w:rPr>
                <w:sz w:val="20"/>
                <w:szCs w:val="20"/>
              </w:rPr>
              <w:t xml:space="preserve">2030 scenarios and hotel model</w:t>
            </w:r>
          </w:p>
        </w:tc>
        <w:tc>
          <w:tcPr/>
          <w:p>
            <w:pPr>
              <w:spacing w:after="0" w:line="240" w:lineRule="auto"/>
              <w:pStyle w:val="Compact"/>
            </w:pPr>
            <w:r>
              <w:rPr>
                <w:sz w:val="20"/>
                <w:szCs w:val="20"/>
              </w:rPr>
              <w:t xml:space="preserve">Survey-cycle adjustment, demographic drift, office work-from-home bands</w:t>
            </w:r>
          </w:p>
        </w:tc>
        <w:tc>
          <w:tcPr/>
          <w:p>
            <w:pPr>
              <w:spacing w:after="0" w:line="240" w:lineRule="auto"/>
              <w:pStyle w:val="Compact"/>
            </w:pPr>
            <w:r>
              <w:rPr>
                <w:sz w:val="20"/>
                <w:szCs w:val="20"/>
              </w:rPr>
              <w:t xml:space="preserve">Adjustment reused; retail lever and hotel time-series model added</w:t>
            </w:r>
          </w:p>
        </w:tc>
        <w:tc>
          <w:tcPr/>
          <w:p>
            <w:pPr>
              <w:spacing w:after="0" w:line="240" w:lineRule="auto"/>
              <w:pStyle w:val="Compact"/>
            </w:pPr>
            <w:r>
              <w:rPr>
                <w:sz w:val="20"/>
                <w:szCs w:val="20"/>
              </w:rPr>
              <w:t xml:space="preserve">No</w:t>
            </w:r>
          </w:p>
        </w:tc>
        <w:tc>
          <w:tcPr/>
          <w:p>
            <w:pPr>
              <w:spacing w:after="0" w:line="240" w:lineRule="auto"/>
              <w:pStyle w:val="Compact"/>
            </w:pPr>
            <w:r>
              <w:rPr>
                <w:sz w:val="20"/>
                <w:szCs w:val="20"/>
              </w:rPr>
              <w:t xml:space="preserve">Not compared at the level of injected schedules</w:t>
            </w:r>
          </w:p>
        </w:tc>
      </w:tr>
      <w:tr>
        <w:tc>
          <w:tcPr/>
          <w:p>
            <w:pPr>
              <w:spacing w:after="0" w:line="240" w:lineRule="auto"/>
              <w:pStyle w:val="Compact"/>
            </w:pPr>
            <w:r>
              <w:rPr>
                <w:sz w:val="20"/>
                <w:szCs w:val="20"/>
              </w:rPr>
              <w:t xml:space="preserve">Building-model integration</w:t>
            </w:r>
          </w:p>
        </w:tc>
        <w:tc>
          <w:tcPr/>
          <w:p>
            <w:pPr>
              <w:spacing w:after="0" w:line="240" w:lineRule="auto"/>
              <w:pStyle w:val="Compact"/>
            </w:pPr>
            <w:r>
              <w:rPr>
                <w:sz w:val="20"/>
                <w:szCs w:val="20"/>
              </w:rPr>
              <w:t xml:space="preserve">Two-channel injection by space tag</w:t>
            </w:r>
          </w:p>
        </w:tc>
        <w:tc>
          <w:tcPr/>
          <w:p>
            <w:pPr>
              <w:spacing w:after="0" w:line="240" w:lineRule="auto"/>
              <w:pStyle w:val="Compact"/>
            </w:pPr>
            <w:r>
              <w:rPr>
                <w:sz w:val="20"/>
                <w:szCs w:val="20"/>
              </w:rPr>
              <w:t xml:space="preserve">Four-channel routing; a missing channel keeps the code schedule</w:t>
            </w:r>
          </w:p>
        </w:tc>
        <w:tc>
          <w:tcPr/>
          <w:p>
            <w:pPr>
              <w:spacing w:after="0" w:line="240" w:lineRule="auto"/>
              <w:pStyle w:val="Compact"/>
            </w:pPr>
            <w:r>
              <w:rPr>
                <w:sz w:val="20"/>
                <w:szCs w:val="20"/>
              </w:rPr>
              <w:t xml:space="preserve">Yes, base prototype geometry only</w:t>
            </w:r>
          </w:p>
        </w:tc>
        <w:tc>
          <w:tcPr/>
          <w:p>
            <w:pPr>
              <w:spacing w:after="0" w:line="240" w:lineRule="auto"/>
              <w:pStyle w:val="Compact"/>
            </w:pPr>
            <w:r>
              <w:rPr>
                <w:sz w:val="20"/>
                <w:szCs w:val="20"/>
              </w:rPr>
              <w:t xml:space="preserve">The four prototype files are byte-identical. The injection code exists in three non-matching copies, so the building is shared and the code writing into it is not</w:t>
            </w:r>
          </w:p>
        </w:tc>
      </w:tr>
      <w:tr>
        <w:tc>
          <w:tcPr/>
          <w:p>
            <w:pPr>
              <w:spacing w:after="0" w:line="240" w:lineRule="auto"/>
              <w:pStyle w:val="Compact"/>
            </w:pPr>
            <w:r>
              <w:rPr>
                <w:sz w:val="20"/>
                <w:szCs w:val="20"/>
              </w:rPr>
              <w:t xml:space="preserve">Building simulation</w:t>
            </w:r>
          </w:p>
        </w:tc>
        <w:tc>
          <w:tcPr/>
          <w:p>
            <w:pPr>
              <w:spacing w:after="0" w:line="240" w:lineRule="auto"/>
              <w:pStyle w:val="Compact"/>
            </w:pPr>
            <w:r>
              <w:rPr>
                <w:sz w:val="20"/>
                <w:szCs w:val="20"/>
              </w:rPr>
              <w:t xml:space="preserve">72-run residential re-simulation plus the office runs</w:t>
            </w:r>
          </w:p>
        </w:tc>
        <w:tc>
          <w:tcPr/>
          <w:p>
            <w:pPr>
              <w:spacing w:after="0" w:line="240" w:lineRule="auto"/>
              <w:pStyle w:val="Compact"/>
            </w:pPr>
            <w:r>
              <w:rPr>
                <w:sz w:val="20"/>
                <w:szCs w:val="20"/>
              </w:rPr>
              <w:t xml:space="preserve">The 56-simulation campaign with all four channels</w:t>
            </w:r>
          </w:p>
        </w:tc>
        <w:tc>
          <w:tcPr/>
          <w:p>
            <w:pPr>
              <w:spacing w:after="0" w:line="240" w:lineRule="auto"/>
              <w:pStyle w:val="Compact"/>
            </w:pPr>
            <w:r>
              <w:rPr>
                <w:sz w:val="20"/>
                <w:szCs w:val="20"/>
              </w:rPr>
              <w:t xml:space="preserve">Not compared</w:t>
            </w:r>
          </w:p>
        </w:tc>
        <w:tc>
          <w:tcPr/>
          <w:p>
            <w:pPr>
              <w:spacing w:after="0" w:line="240" w:lineRule="auto"/>
              <w:pStyle w:val="Compact"/>
            </w:pPr>
            <w:r>
              <w:rPr>
                <w:sz w:val="20"/>
                <w:szCs w:val="20"/>
              </w:rPr>
              <w:t xml:space="preserve">Channel isolation was shown inside this campaign; the two versions’ outputs were not compared</w:t>
            </w:r>
          </w:p>
        </w:tc>
      </w:tr>
      <w:tr>
        <w:tc>
          <w:tcPr/>
          <w:p>
            <w:pPr>
              <w:spacing w:after="0" w:line="240" w:lineRule="auto"/>
              <w:pStyle w:val="Compact"/>
            </w:pPr>
            <w:r>
              <w:rPr>
                <w:sz w:val="20"/>
                <w:szCs w:val="20"/>
              </w:rPr>
              <w:t xml:space="preserve">End-use loads</w:t>
            </w:r>
          </w:p>
        </w:tc>
        <w:tc>
          <w:tcPr/>
          <w:p>
            <w:pPr>
              <w:spacing w:after="0" w:line="240" w:lineRule="auto"/>
              <w:pStyle w:val="Compact"/>
            </w:pPr>
            <w:r>
              <w:rPr>
                <w:sz w:val="20"/>
                <w:szCs w:val="20"/>
              </w:rPr>
              <w:t xml:space="preserve">Two-channel checks against survey and prototype references</w:t>
            </w:r>
          </w:p>
        </w:tc>
        <w:tc>
          <w:tcPr/>
          <w:p>
            <w:pPr>
              <w:spacing w:after="0" w:line="240" w:lineRule="auto"/>
              <w:pStyle w:val="Compact"/>
            </w:pPr>
            <w:r>
              <w:rPr>
                <w:sz w:val="20"/>
                <w:szCs w:val="20"/>
              </w:rPr>
              <w:t xml:space="preserve">Four-channel checks, two reported outside their ranges (Table 4 of the main text)</w:t>
            </w:r>
          </w:p>
        </w:tc>
        <w:tc>
          <w:tcPr/>
          <w:p>
            <w:pPr>
              <w:spacing w:after="0" w:line="240" w:lineRule="auto"/>
              <w:pStyle w:val="Compact"/>
            </w:pPr>
            <w:r>
              <w:rPr>
                <w:sz w:val="20"/>
                <w:szCs w:val="20"/>
              </w:rPr>
              <w:t xml:space="preserve">No</w:t>
            </w:r>
          </w:p>
        </w:tc>
        <w:tc>
          <w:tcPr/>
          <w:p>
            <w:pPr>
              <w:spacing w:after="0" w:line="240" w:lineRule="auto"/>
              <w:pStyle w:val="Compact"/>
            </w:pPr>
            <w:r>
              <w:rPr>
                <w:sz w:val="20"/>
                <w:szCs w:val="20"/>
              </w:rPr>
              <w:t xml:space="preserve">Different check sets and possibly a different basis; the two cannot be differenced</w:t>
            </w:r>
          </w:p>
        </w:tc>
      </w:tr>
    </w:tbl>
    <w:bookmarkEnd w:id="51"/>
    <w:bookmarkEnd w:id="52"/>
    <w:bookmarkStart w:id="74" w:name="supplementary-figures"/>
    <w:p>
      <w:pPr>
        <w:pStyle w:val="Heading2"/>
      </w:pPr>
      <w:r>
        <w:t xml:space="preserve">Supplementary figures</w:t>
      </w:r>
    </w:p>
    <w:p>
      <w:pPr>
        <w:pStyle w:val="FirstParagraph"/>
      </w:pPr>
      <w:r>
        <w:drawing>
          <wp:inline>
            <wp:extent cx="5334000" cy="4296833"/>
            <wp:effectExtent b="0" l="0" r="0" t="0"/>
            <wp:docPr descr="" title="" id="54" name="Picture"/>
            <a:graphic>
              <a:graphicData uri="http://schemas.openxmlformats.org/drawingml/2006/picture">
                <pic:pic>
                  <pic:nvPicPr>
                    <pic:cNvPr descr="figures/SI/Figure_S01_occupiable_shares.png" id="55" name="Picture"/>
                    <pic:cNvPicPr>
                      <a:picLocks noChangeArrowheads="1" noChangeAspect="1"/>
                    </pic:cNvPicPr>
                  </pic:nvPicPr>
                  <pic:blipFill>
                    <a:blip r:embed="rId53"/>
                    <a:stretch>
                      <a:fillRect/>
                    </a:stretch>
                  </pic:blipFill>
                  <pic:spPr bwMode="auto">
                    <a:xfrm>
                      <a:off x="0" y="0"/>
                      <a:ext cx="5334000" cy="4296833"/>
                    </a:xfrm>
                    <a:prstGeom prst="rect">
                      <a:avLst/>
                    </a:prstGeom>
                    <a:noFill/>
                    <a:ln w="9525">
                      <a:noFill/>
                      <a:headEnd/>
                      <a:tailEnd/>
                    </a:ln>
                  </pic:spPr>
                </pic:pic>
              </a:graphicData>
            </a:graphic>
          </wp:inline>
        </w:drawing>
      </w:r>
    </w:p>
    <w:p>
      <w:pPr>
        <w:pStyle w:val="BodyText"/>
      </w:pPr>
      <w:r>
        <w:rPr>
          <w:b/>
          <w:bCs/>
        </w:rPr>
        <w:t xml:space="preserve">Figure S1.</w:t>
      </w:r>
      <w:r>
        <w:t xml:space="preserve"> </w:t>
      </w:r>
      <w:r>
        <w:t xml:space="preserve">Occupiable-area share per channel.</w:t>
      </w:r>
    </w:p>
    <w:p>
      <w:pPr>
        <w:pStyle w:val="BodyText"/>
      </w:pPr>
      <w:r>
        <w:drawing>
          <wp:inline>
            <wp:extent cx="5334000" cy="2976562"/>
            <wp:effectExtent b="0" l="0" r="0" t="0"/>
            <wp:docPr descr="" title="" id="57" name="Picture"/>
            <a:graphic>
              <a:graphicData uri="http://schemas.openxmlformats.org/drawingml/2006/picture">
                <pic:pic>
                  <pic:nvPicPr>
                    <pic:cNvPr descr="figures/SI/Figure_S02_scenario_levers.png" id="58" name="Picture"/>
                    <pic:cNvPicPr>
                      <a:picLocks noChangeArrowheads="1" noChangeAspect="1"/>
                    </pic:cNvPicPr>
                  </pic:nvPicPr>
                  <pic:blipFill>
                    <a:blip r:embed="rId56"/>
                    <a:stretch>
                      <a:fillRect/>
                    </a:stretch>
                  </pic:blipFill>
                  <pic:spPr bwMode="auto">
                    <a:xfrm>
                      <a:off x="0" y="0"/>
                      <a:ext cx="5334000" cy="2976562"/>
                    </a:xfrm>
                    <a:prstGeom prst="rect">
                      <a:avLst/>
                    </a:prstGeom>
                    <a:noFill/>
                    <a:ln w="9525">
                      <a:noFill/>
                      <a:headEnd/>
                      <a:tailEnd/>
                    </a:ln>
                  </pic:spPr>
                </pic:pic>
              </a:graphicData>
            </a:graphic>
          </wp:inline>
        </w:drawing>
      </w:r>
    </w:p>
    <w:p>
      <w:pPr>
        <w:pStyle w:val="BodyText"/>
      </w:pPr>
      <w:r>
        <w:rPr>
          <w:b/>
          <w:bCs/>
        </w:rPr>
        <w:t xml:space="preserve">Figure S2.</w:t>
      </w:r>
      <w:r>
        <w:t xml:space="preserve"> </w:t>
      </w:r>
      <w:r>
        <w:t xml:space="preserve">One scenario lever per channel.</w:t>
      </w:r>
    </w:p>
    <w:p>
      <w:pPr>
        <w:pStyle w:val="BodyText"/>
      </w:pPr>
      <w:r>
        <w:drawing>
          <wp:inline>
            <wp:extent cx="5334000" cy="2976562"/>
            <wp:effectExtent b="0" l="0" r="0" t="0"/>
            <wp:docPr descr="" title="" id="60" name="Picture"/>
            <a:graphic>
              <a:graphicData uri="http://schemas.openxmlformats.org/drawingml/2006/picture">
                <pic:pic>
                  <pic:nvPicPr>
                    <pic:cNvPr descr="figures/SI/Figure_S03_leg2_pipeline.png" id="61" name="Picture"/>
                    <pic:cNvPicPr>
                      <a:picLocks noChangeArrowheads="1" noChangeAspect="1"/>
                    </pic:cNvPicPr>
                  </pic:nvPicPr>
                  <pic:blipFill>
                    <a:blip r:embed="rId59"/>
                    <a:stretch>
                      <a:fillRect/>
                    </a:stretch>
                  </pic:blipFill>
                  <pic:spPr bwMode="auto">
                    <a:xfrm>
                      <a:off x="0" y="0"/>
                      <a:ext cx="5334000" cy="2976562"/>
                    </a:xfrm>
                    <a:prstGeom prst="rect">
                      <a:avLst/>
                    </a:prstGeom>
                    <a:noFill/>
                    <a:ln w="9525">
                      <a:noFill/>
                      <a:headEnd/>
                      <a:tailEnd/>
                    </a:ln>
                  </pic:spPr>
                </pic:pic>
              </a:graphicData>
            </a:graphic>
          </wp:inline>
        </w:drawing>
      </w:r>
    </w:p>
    <w:p>
      <w:pPr>
        <w:pStyle w:val="BodyText"/>
      </w:pPr>
      <w:r>
        <w:rPr>
          <w:b/>
          <w:bCs/>
        </w:rPr>
        <w:t xml:space="preserve">Figure S3.</w:t>
      </w:r>
      <w:r>
        <w:t xml:space="preserve"> </w:t>
      </w:r>
      <w:r>
        <w:t xml:space="preserve">Two-channel version of the framework.</w:t>
      </w:r>
    </w:p>
    <w:p>
      <w:pPr>
        <w:pStyle w:val="BodyText"/>
      </w:pPr>
      <w:r>
        <w:drawing>
          <wp:inline>
            <wp:extent cx="5334000" cy="2976562"/>
            <wp:effectExtent b="0" l="0" r="0" t="0"/>
            <wp:docPr descr="" title="" id="63" name="Picture"/>
            <a:graphic>
              <a:graphicData uri="http://schemas.openxmlformats.org/drawingml/2006/picture">
                <pic:pic>
                  <pic:nvPicPr>
                    <pic:cNvPr descr="figures/Figure_02_three_leg_roadmap.png" id="64" name="Picture"/>
                    <pic:cNvPicPr>
                      <a:picLocks noChangeArrowheads="1" noChangeAspect="1"/>
                    </pic:cNvPicPr>
                  </pic:nvPicPr>
                  <pic:blipFill>
                    <a:blip r:embed="rId62"/>
                    <a:stretch>
                      <a:fillRect/>
                    </a:stretch>
                  </pic:blipFill>
                  <pic:spPr bwMode="auto">
                    <a:xfrm>
                      <a:off x="0" y="0"/>
                      <a:ext cx="5334000" cy="2976562"/>
                    </a:xfrm>
                    <a:prstGeom prst="rect">
                      <a:avLst/>
                    </a:prstGeom>
                    <a:noFill/>
                    <a:ln w="9525">
                      <a:noFill/>
                      <a:headEnd/>
                      <a:tailEnd/>
                    </a:ln>
                  </pic:spPr>
                </pic:pic>
              </a:graphicData>
            </a:graphic>
          </wp:inline>
        </w:drawing>
      </w:r>
    </w:p>
    <w:p>
      <w:pPr>
        <w:pStyle w:val="BodyText"/>
      </w:pPr>
      <w:r>
        <w:rPr>
          <w:b/>
          <w:bCs/>
        </w:rPr>
        <w:t xml:space="preserve">Figure S4.</w:t>
      </w:r>
      <w:r>
        <w:t xml:space="preserve"> </w:t>
      </w:r>
      <w:r>
        <w:t xml:space="preserve">Three-stage development of the model.</w:t>
      </w:r>
    </w:p>
    <w:p>
      <w:pPr>
        <w:pStyle w:val="BodyText"/>
      </w:pPr>
      <w:r>
        <w:drawing>
          <wp:inline>
            <wp:extent cx="5334000" cy="3000375"/>
            <wp:effectExtent b="0" l="0" r="0" t="0"/>
            <wp:docPr descr="" title="" id="66" name="Picture"/>
            <a:graphic>
              <a:graphicData uri="http://schemas.openxmlformats.org/drawingml/2006/picture">
                <pic:pic>
                  <pic:nvPicPr>
                    <pic:cNvPr descr="figures/Figure_04_exclusivity_projection.png" id="67" name="Picture"/>
                    <pic:cNvPicPr>
                      <a:picLocks noChangeArrowheads="1" noChangeAspect="1"/>
                    </pic:cNvPicPr>
                  </pic:nvPicPr>
                  <pic:blipFill>
                    <a:blip r:embed="rId6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
          <w:bCs/>
        </w:rPr>
        <w:t xml:space="preserve">Figure S5.</w:t>
      </w:r>
      <w:r>
        <w:t xml:space="preserve"> </w:t>
      </w:r>
      <w:r>
        <w:t xml:space="preserve">Exclusivity step across the three decoder heads.</w:t>
      </w:r>
    </w:p>
    <w:p>
      <w:pPr>
        <w:pStyle w:val="BodyText"/>
      </w:pPr>
      <w:r>
        <w:drawing>
          <wp:inline>
            <wp:extent cx="5334000" cy="2139211"/>
            <wp:effectExtent b="0" l="0" r="0" t="0"/>
            <wp:docPr descr="" title="" id="69" name="Picture"/>
            <a:graphic>
              <a:graphicData uri="http://schemas.openxmlformats.org/drawingml/2006/picture">
                <pic:pic>
                  <pic:nvPicPr>
                    <pic:cNvPr descr="figures/Figure_09_diurnal_4ch.png" id="70" name="Picture"/>
                    <pic:cNvPicPr>
                      <a:picLocks noChangeArrowheads="1" noChangeAspect="1"/>
                    </pic:cNvPicPr>
                  </pic:nvPicPr>
                  <pic:blipFill>
                    <a:blip r:embed="rId68"/>
                    <a:stretch>
                      <a:fillRect/>
                    </a:stretch>
                  </pic:blipFill>
                  <pic:spPr bwMode="auto">
                    <a:xfrm>
                      <a:off x="0" y="0"/>
                      <a:ext cx="5334000" cy="2139211"/>
                    </a:xfrm>
                    <a:prstGeom prst="rect">
                      <a:avLst/>
                    </a:prstGeom>
                    <a:noFill/>
                    <a:ln w="9525">
                      <a:noFill/>
                      <a:headEnd/>
                      <a:tailEnd/>
                    </a:ln>
                  </pic:spPr>
                </pic:pic>
              </a:graphicData>
            </a:graphic>
          </wp:inline>
        </w:drawing>
      </w:r>
    </w:p>
    <w:p>
      <w:pPr>
        <w:pStyle w:val="BodyText"/>
      </w:pPr>
      <w:r>
        <w:rPr>
          <w:b/>
          <w:bCs/>
        </w:rPr>
        <w:t xml:space="preserve">Figure S6.</w:t>
      </w:r>
      <w:r>
        <w:t xml:space="preserve"> </w:t>
      </w:r>
      <w:r>
        <w:t xml:space="preserve">Diurnal load per channel, SuperTall tower, Calgary, central 2030 scenario.</w:t>
      </w:r>
    </w:p>
    <w:p>
      <w:pPr>
        <w:pStyle w:val="BodyText"/>
      </w:pPr>
      <w:r>
        <w:drawing>
          <wp:inline>
            <wp:extent cx="5334000" cy="2670462"/>
            <wp:effectExtent b="0" l="0" r="0" t="0"/>
            <wp:docPr descr="" title="" id="72" name="Picture"/>
            <a:graphic>
              <a:graphicData uri="http://schemas.openxmlformats.org/drawingml/2006/picture">
                <pic:pic>
                  <pic:nvPicPr>
                    <pic:cNvPr descr="figures/Figure_10_peakhour_4ch.png" id="73" name="Picture"/>
                    <pic:cNvPicPr>
                      <a:picLocks noChangeArrowheads="1" noChangeAspect="1"/>
                    </pic:cNvPicPr>
                  </pic:nvPicPr>
                  <pic:blipFill>
                    <a:blip r:embed="rId71"/>
                    <a:stretch>
                      <a:fillRect/>
                    </a:stretch>
                  </pic:blipFill>
                  <pic:spPr bwMode="auto">
                    <a:xfrm>
                      <a:off x="0" y="0"/>
                      <a:ext cx="5334000" cy="2670462"/>
                    </a:xfrm>
                    <a:prstGeom prst="rect">
                      <a:avLst/>
                    </a:prstGeom>
                    <a:noFill/>
                    <a:ln w="9525">
                      <a:noFill/>
                      <a:headEnd/>
                      <a:tailEnd/>
                    </a:ln>
                  </pic:spPr>
                </pic:pic>
              </a:graphicData>
            </a:graphic>
          </wp:inline>
        </w:drawing>
      </w:r>
    </w:p>
    <w:p>
      <w:pPr>
        <w:pStyle w:val="BodyText"/>
      </w:pPr>
      <w:r>
        <w:rPr>
          <w:b/>
          <w:bCs/>
        </w:rPr>
        <w:t xml:space="preserve">Figure S7.</w:t>
      </w:r>
      <w:r>
        <w:t xml:space="preserve"> </w:t>
      </w:r>
      <w:r>
        <w:t xml:space="preserve">Channel and whole-building peak hours, central 2030 scenario.</w:t>
      </w:r>
    </w:p>
    <w:bookmarkEnd w:id="74"/>
    <w:bookmarkEnd w:id="75"/>
    <w:sectPr>
      <w:footerReference r:id="rId3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2026-09-25T00:00:00Z</dcterms:created>
  <dcterms:modified xsi:type="dcterms:W3CDTF">2026-09-25T00:00:00Z</dcterms:modified>
</cp:coreProperties>
</file>

<file path=docProps/custom.xml><?xml version="1.0" encoding="utf-8"?>
<Properties xmlns="http://schemas.openxmlformats.org/officeDocument/2006/custom-properties" xmlns:vt="http://schemas.openxmlformats.org/officeDocument/2006/docPropsVTypes"/>
</file>